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8E04D" w14:textId="77777777" w:rsidR="00394A30" w:rsidRDefault="00000000">
      <w:pPr>
        <w:pStyle w:val="Nadpis1"/>
        <w:keepNext w:val="0"/>
        <w:keepLines w:val="0"/>
        <w:spacing w:before="480" w:after="120" w:line="240" w:lineRule="auto"/>
        <w:ind w:left="0"/>
        <w:jc w:val="center"/>
        <w:rPr>
          <w:rFonts w:ascii="Verdana" w:eastAsia="Verdana" w:hAnsi="Verdana" w:cs="Verdana"/>
          <w:color w:val="000000"/>
          <w:sz w:val="18"/>
          <w:szCs w:val="18"/>
        </w:rPr>
      </w:pPr>
      <w:bookmarkStart w:id="0" w:name="_heading=h.228nsvf5kpwr" w:colFirst="0" w:colLast="0"/>
      <w:bookmarkEnd w:id="0"/>
      <w:r>
        <w:rPr>
          <w:rFonts w:ascii="Verdana" w:eastAsia="Verdana" w:hAnsi="Verdana" w:cs="Verdana"/>
          <w:color w:val="000000"/>
          <w:sz w:val="18"/>
          <w:szCs w:val="18"/>
        </w:rPr>
        <w:t xml:space="preserve">Technické </w:t>
      </w:r>
      <w:proofErr w:type="gramStart"/>
      <w:r>
        <w:rPr>
          <w:rFonts w:ascii="Verdana" w:eastAsia="Verdana" w:hAnsi="Verdana" w:cs="Verdana"/>
          <w:color w:val="000000"/>
          <w:sz w:val="18"/>
          <w:szCs w:val="18"/>
        </w:rPr>
        <w:t>požadavky - příloha</w:t>
      </w:r>
      <w:proofErr w:type="gramEnd"/>
      <w:r>
        <w:rPr>
          <w:rFonts w:ascii="Verdana" w:eastAsia="Verdana" w:hAnsi="Verdana" w:cs="Verdana"/>
          <w:color w:val="000000"/>
          <w:sz w:val="18"/>
          <w:szCs w:val="18"/>
        </w:rPr>
        <w:t xml:space="preserve"> Kupní smlouvy č.1</w:t>
      </w:r>
    </w:p>
    <w:p w14:paraId="5CB1A996" w14:textId="77777777" w:rsidR="00394A30" w:rsidRDefault="00000000">
      <w:pPr>
        <w:pStyle w:val="Nzev"/>
        <w:spacing w:before="240" w:after="240"/>
        <w:jc w:val="center"/>
        <w:rPr>
          <w:rFonts w:ascii="Verdana" w:eastAsia="Verdana" w:hAnsi="Verdana" w:cs="Verdana"/>
          <w:b/>
          <w:sz w:val="18"/>
          <w:szCs w:val="18"/>
        </w:rPr>
      </w:pPr>
      <w:r>
        <w:rPr>
          <w:rFonts w:ascii="Verdana" w:eastAsia="Verdana" w:hAnsi="Verdana" w:cs="Verdana"/>
          <w:sz w:val="18"/>
          <w:szCs w:val="18"/>
        </w:rPr>
        <w:t xml:space="preserve"> Veřejná zakázka:</w:t>
      </w:r>
    </w:p>
    <w:p w14:paraId="26C3C180" w14:textId="260815D6" w:rsidR="00394A30" w:rsidRDefault="00000000">
      <w:pPr>
        <w:pStyle w:val="Nzev"/>
        <w:spacing w:before="240" w:after="240"/>
        <w:ind w:right="-140"/>
        <w:jc w:val="center"/>
        <w:rPr>
          <w:rFonts w:ascii="Verdana" w:eastAsia="Verdana" w:hAnsi="Verdana" w:cs="Verdana"/>
          <w:b/>
          <w:sz w:val="18"/>
          <w:szCs w:val="18"/>
        </w:rPr>
      </w:pPr>
      <w:r>
        <w:rPr>
          <w:rFonts w:ascii="Verdana" w:eastAsia="Verdana" w:hAnsi="Verdana" w:cs="Verdana"/>
          <w:b/>
          <w:sz w:val="18"/>
          <w:szCs w:val="18"/>
        </w:rPr>
        <w:t>„Oblastní nemocnice Trutnov a.s.-</w:t>
      </w:r>
      <w:r>
        <w:t xml:space="preserve"> </w:t>
      </w:r>
      <w:r w:rsidR="001D7CF5">
        <w:rPr>
          <w:rFonts w:ascii="Verdana" w:eastAsia="Verdana" w:hAnsi="Verdana" w:cs="Verdana"/>
          <w:b/>
          <w:sz w:val="18"/>
          <w:szCs w:val="18"/>
        </w:rPr>
        <w:t>PACS</w:t>
      </w:r>
      <w:r>
        <w:rPr>
          <w:rFonts w:ascii="Verdana" w:eastAsia="Verdana" w:hAnsi="Verdana" w:cs="Verdana"/>
          <w:b/>
          <w:sz w:val="18"/>
          <w:szCs w:val="18"/>
        </w:rPr>
        <w:t>“</w:t>
      </w:r>
    </w:p>
    <w:p w14:paraId="3EE31574" w14:textId="77777777" w:rsidR="00394A30" w:rsidRDefault="00000000">
      <w:pPr>
        <w:pStyle w:val="Nzev"/>
        <w:spacing w:before="240" w:after="240" w:line="276" w:lineRule="auto"/>
        <w:rPr>
          <w:rFonts w:ascii="Verdana" w:eastAsia="Verdana" w:hAnsi="Verdana" w:cs="Verdana"/>
          <w:sz w:val="18"/>
          <w:szCs w:val="18"/>
        </w:rPr>
      </w:pPr>
      <w:r>
        <w:rPr>
          <w:rFonts w:ascii="Verdana" w:eastAsia="Verdana" w:hAnsi="Verdana" w:cs="Verdana"/>
          <w:sz w:val="18"/>
          <w:szCs w:val="18"/>
        </w:rPr>
        <w:t xml:space="preserve">Zadavatel vymezuje níže </w:t>
      </w:r>
      <w:r>
        <w:rPr>
          <w:rFonts w:ascii="Verdana" w:eastAsia="Verdana" w:hAnsi="Verdana" w:cs="Verdana"/>
          <w:b/>
          <w:sz w:val="18"/>
          <w:szCs w:val="18"/>
        </w:rPr>
        <w:t>závazné charakteristiky a požadavky</w:t>
      </w:r>
      <w:r>
        <w:rPr>
          <w:rFonts w:ascii="Verdana" w:eastAsia="Verdana" w:hAnsi="Verdana" w:cs="Verdana"/>
          <w:sz w:val="18"/>
          <w:szCs w:val="18"/>
        </w:rPr>
        <w:t xml:space="preserve"> na dodávku zdravotnické techniky.</w:t>
      </w:r>
    </w:p>
    <w:p w14:paraId="28BAE7B2" w14:textId="77777777" w:rsidR="00394A30" w:rsidRDefault="00000000">
      <w:pPr>
        <w:pStyle w:val="Nzev"/>
        <w:spacing w:before="240" w:after="240" w:line="276" w:lineRule="auto"/>
        <w:rPr>
          <w:rFonts w:ascii="Verdana" w:eastAsia="Verdana" w:hAnsi="Verdana" w:cs="Verdana"/>
          <w:sz w:val="18"/>
          <w:szCs w:val="18"/>
        </w:rPr>
      </w:pPr>
      <w:r>
        <w:rPr>
          <w:rFonts w:ascii="Verdana" w:eastAsia="Verdana" w:hAnsi="Verdana" w:cs="Verdana"/>
          <w:sz w:val="18"/>
          <w:szCs w:val="18"/>
        </w:rPr>
        <w:t xml:space="preserve">V souladu se zadávací dokumentací musí nabídka obsahovat specifikaci nabízeného plnění, ze které bude vyplývat splnění požadavků stanovených zadavatelem v rámci zadávacích podmínek. Splnění závazných charakteristik a požadavků popíše uchazeč v níže uvedené tabulce u všech požadavků a </w:t>
      </w:r>
      <w:proofErr w:type="gramStart"/>
      <w:r>
        <w:rPr>
          <w:rFonts w:ascii="Verdana" w:eastAsia="Verdana" w:hAnsi="Verdana" w:cs="Verdana"/>
          <w:sz w:val="18"/>
          <w:szCs w:val="18"/>
        </w:rPr>
        <w:t>doloží</w:t>
      </w:r>
      <w:proofErr w:type="gramEnd"/>
      <w:r>
        <w:rPr>
          <w:rFonts w:ascii="Verdana" w:eastAsia="Verdana" w:hAnsi="Verdana" w:cs="Verdana"/>
          <w:sz w:val="18"/>
          <w:szCs w:val="18"/>
        </w:rPr>
        <w:t xml:space="preserve"> relevantními dokumenty ve své nabídce</w:t>
      </w:r>
      <w:r>
        <w:rPr>
          <w:rFonts w:ascii="Verdana" w:eastAsia="Verdana" w:hAnsi="Verdana" w:cs="Verdana"/>
          <w:b/>
          <w:sz w:val="18"/>
          <w:szCs w:val="18"/>
        </w:rPr>
        <w:t xml:space="preserve">. </w:t>
      </w:r>
      <w:r>
        <w:rPr>
          <w:rFonts w:ascii="Verdana" w:eastAsia="Verdana" w:hAnsi="Verdana" w:cs="Verdana"/>
          <w:sz w:val="18"/>
          <w:szCs w:val="18"/>
        </w:rPr>
        <w:t>Specifické požadavky je třeba doložit technickým listem výrobku.</w:t>
      </w:r>
    </w:p>
    <w:p w14:paraId="2557685D" w14:textId="77777777" w:rsidR="00394A30" w:rsidRDefault="00000000">
      <w:pPr>
        <w:pStyle w:val="Nzev"/>
        <w:spacing w:before="240" w:after="240"/>
        <w:rPr>
          <w:rFonts w:ascii="Verdana" w:eastAsia="Verdana" w:hAnsi="Verdana" w:cs="Verdana"/>
          <w:sz w:val="18"/>
          <w:szCs w:val="18"/>
        </w:rPr>
      </w:pPr>
      <w:bookmarkStart w:id="1" w:name="_heading=h.1ezls2l3kz2h" w:colFirst="0" w:colLast="0"/>
      <w:bookmarkEnd w:id="1"/>
      <w:r>
        <w:rPr>
          <w:rFonts w:ascii="Verdana" w:eastAsia="Verdana" w:hAnsi="Verdana" w:cs="Verdana"/>
          <w:sz w:val="18"/>
          <w:szCs w:val="18"/>
        </w:rPr>
        <w:t>Nabízené plnění musí splňovat technické požadavky dle platné legislativy.</w:t>
      </w:r>
    </w:p>
    <w:p w14:paraId="254B8351" w14:textId="77777777" w:rsidR="00394A30" w:rsidRDefault="00000000">
      <w:pPr>
        <w:pStyle w:val="Nadpis1"/>
        <w:numPr>
          <w:ilvl w:val="0"/>
          <w:numId w:val="1"/>
        </w:numPr>
      </w:pPr>
      <w:r>
        <w:t>Obecné požadavky</w:t>
      </w:r>
    </w:p>
    <w:p w14:paraId="5CF9717F" w14:textId="77777777" w:rsidR="00394A30" w:rsidRDefault="00000000">
      <w:r>
        <w:t>Uchazeč musí zajistit na vlastní náklady úpravu systému/aplikací tak, aby odpovídaly níže uvedeným požadavkům a případným požadavkům zadavatele na snížení administrativní zátěže a uživatelské náročnosti (snadná obsluha, přizpůsobení uživatelského prostředí apod.). V případě, že bude Uchazeč pro tyto požadavky potřebovat dodávku jiného SW/HW vybavení, než je součástí požadavků zadavatele, Uchazeč je povinen na své náklady dodat takovéto SW/HW vybavení.</w:t>
      </w:r>
    </w:p>
    <w:p w14:paraId="68840261" w14:textId="77777777" w:rsidR="00394A30" w:rsidRDefault="00000000">
      <w:r>
        <w:t>Všechny části systému musí být integrované a modulárně koncipované.</w:t>
      </w:r>
    </w:p>
    <w:p w14:paraId="2B5C3D00" w14:textId="77777777" w:rsidR="00394A30" w:rsidRDefault="00000000">
      <w:r>
        <w:t xml:space="preserve">Z důvodu ochrany investic chce Zadavatel předejít vícenákladům při napojení nabízeného systému na stávající informační systémy (IS). Zadavatel preferuje komunikaci pomocí mezinárodních standardů (DICOM, IHE, </w:t>
      </w:r>
      <w:proofErr w:type="gramStart"/>
      <w:r>
        <w:t>HL7,</w:t>
      </w:r>
      <w:proofErr w:type="gramEnd"/>
      <w:r>
        <w:t xml:space="preserve"> atd.), avšak nemůže předjímat, jakou nabídne dodavatel technologii. Proto je nutné zajistit konkrétní podmínky integrace nabízeného systému v závislosti na technologii přímo s distributorem stávajících IS. V případě, že dodavatel nabídne řešení, jehož součástí bude náhrada jakékoliv části stávajícího řešení, Uchazeč </w:t>
      </w:r>
      <w:proofErr w:type="gramStart"/>
      <w:r>
        <w:t>předloží</w:t>
      </w:r>
      <w:proofErr w:type="gramEnd"/>
      <w:r>
        <w:t xml:space="preserve"> subdodavatelskou smlouvu se servisní organizací stávajícího řešení, která bude zajišťovat potřebnou součinnost při přechodu na nové řešení.</w:t>
      </w:r>
    </w:p>
    <w:p w14:paraId="0C9CE2D9" w14:textId="77777777" w:rsidR="00394A30" w:rsidRDefault="00000000">
      <w:r>
        <w:t xml:space="preserve">Soubor dodaného aplikačního programového vybavení, tzn. všechny nabízené SW moduly, musí být certifikován jako „Zdravotnický prostředek třídy </w:t>
      </w:r>
      <w:proofErr w:type="spellStart"/>
      <w:r>
        <w:t>IIa</w:t>
      </w:r>
      <w:proofErr w:type="spellEnd"/>
      <w:r>
        <w:t xml:space="preserve"> nebo vyšší“ v souladu se zákonem č. 268/2014 Sb., o zdravotnických prostředcích, nařízením EU MDD 93/42/EEC a nařízením vlády č. 54/2015 Sb. Dodavatel </w:t>
      </w:r>
      <w:proofErr w:type="gramStart"/>
      <w:r>
        <w:t>doloží</w:t>
      </w:r>
      <w:proofErr w:type="gramEnd"/>
      <w:r>
        <w:t xml:space="preserve"> certifikátem v rámci nabídky.</w:t>
      </w:r>
    </w:p>
    <w:p w14:paraId="79B75AFF" w14:textId="77777777" w:rsidR="00394A30" w:rsidRDefault="00000000">
      <w:r>
        <w:t>Nabízené řešení nesmí pro svůj provoz vyžadovat přítomnost bezpečnostních předmětů souvisejících s licenční ochranou dodávaného aplikačního software na straně serveru ani na straně klienta (např. použití hardwarových licenčních tokenů, aj.).</w:t>
      </w:r>
    </w:p>
    <w:p w14:paraId="0A2AE35F" w14:textId="77777777" w:rsidR="00394A30" w:rsidRDefault="00000000">
      <w:r>
        <w:t>Zadavatel požaduje, aby dodavatel vyplnil pravý sloupec tabulek s doplněním údaje o splnění daného požadavku. Nabízené řešení musí splňovat všechny uvedené požadavky. Pokud níže uvedené tabulky s požadavky obsahují v jedné oblasti více požadavků, funkcí, tak pro úplné splnění požadavků (Ano) musí být splněny všechny požadavky v daném bodě zároveň.</w:t>
      </w:r>
    </w:p>
    <w:p w14:paraId="2A617B5F" w14:textId="77777777" w:rsidR="00394A30" w:rsidRDefault="00000000">
      <w:pPr>
        <w:pStyle w:val="Nadpis1"/>
        <w:numPr>
          <w:ilvl w:val="0"/>
          <w:numId w:val="1"/>
        </w:numPr>
      </w:pPr>
      <w:r>
        <w:t>Technické požadavky</w:t>
      </w:r>
    </w:p>
    <w:p w14:paraId="78C6A667" w14:textId="77777777" w:rsidR="00394A30" w:rsidRDefault="00000000">
      <w:pPr>
        <w:pStyle w:val="Nadpis2"/>
        <w:numPr>
          <w:ilvl w:val="1"/>
          <w:numId w:val="1"/>
        </w:numPr>
      </w:pPr>
      <w:r>
        <w:t>Požadavky na archiv</w:t>
      </w:r>
    </w:p>
    <w:p w14:paraId="77EAB4C7" w14:textId="77777777" w:rsidR="00394A30" w:rsidRDefault="00000000">
      <w:r>
        <w:t>Zadavatel požaduje doplnění funkcí stávajícího jádra PACS o tyto bezpečnostní prvky a funkcionality:</w:t>
      </w:r>
    </w:p>
    <w:tbl>
      <w:tblPr>
        <w:tblStyle w:val="a"/>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66"/>
        <w:gridCol w:w="1701"/>
      </w:tblGrid>
      <w:tr w:rsidR="00394A30" w14:paraId="3910798B" w14:textId="77777777">
        <w:tc>
          <w:tcPr>
            <w:tcW w:w="7366" w:type="dxa"/>
            <w:shd w:val="clear" w:color="auto" w:fill="D9D9D9"/>
          </w:tcPr>
          <w:p w14:paraId="02261DC6" w14:textId="77777777" w:rsidR="00394A30" w:rsidRDefault="00000000">
            <w:r>
              <w:t>Požadavek</w:t>
            </w:r>
          </w:p>
        </w:tc>
        <w:tc>
          <w:tcPr>
            <w:tcW w:w="1701" w:type="dxa"/>
            <w:shd w:val="clear" w:color="auto" w:fill="D9D9D9"/>
            <w:vAlign w:val="center"/>
          </w:tcPr>
          <w:p w14:paraId="0B50E291" w14:textId="77777777" w:rsidR="00394A30" w:rsidRDefault="00000000">
            <w:pPr>
              <w:jc w:val="center"/>
            </w:pPr>
            <w:r>
              <w:t>Splňuje ANO/NE</w:t>
            </w:r>
          </w:p>
        </w:tc>
      </w:tr>
      <w:tr w:rsidR="00394A30" w14:paraId="17896012" w14:textId="77777777">
        <w:tc>
          <w:tcPr>
            <w:tcW w:w="7366" w:type="dxa"/>
          </w:tcPr>
          <w:p w14:paraId="4813A20D" w14:textId="77777777" w:rsidR="00394A30" w:rsidRDefault="00000000">
            <w:r>
              <w:lastRenderedPageBreak/>
              <w:t xml:space="preserve">Webové administrační rozhraní pro správu systému – společné uživatelské prostředí pro správu a nastavení archivu i DICOM prohlížeče,  kompletní správa DICOM uzlů (připojování modalit, archivů, stanic vč. možnosti otestování DICOM komunikace), nastavení MWL, logovací konzole/prohlížeč logů, přehled využití licencí, obsazení datových úložišť a statistiky uložených dat, integrovaná funkce pro notifikaci uživatelů (např. o plánovaném upgradu,…), správa datových úložišť, </w:t>
            </w:r>
            <w:proofErr w:type="spellStart"/>
            <w:r>
              <w:t>autorouting</w:t>
            </w:r>
            <w:proofErr w:type="spellEnd"/>
            <w:r>
              <w:t xml:space="preserve"> (vytváření a editace </w:t>
            </w:r>
            <w:proofErr w:type="spellStart"/>
            <w:r>
              <w:t>routovacích</w:t>
            </w:r>
            <w:proofErr w:type="spellEnd"/>
            <w:r>
              <w:t xml:space="preserve"> pravidel), nastavení zobrazení (počet monitorů, barevný/černobílý monitor, velikost písma, možnost zobrazení vyhledávacího dialogu na samostatném monitoru, zobrazení náhledů na série zobrazeného vyšetření v pracovní liště vpravo nebo vlevo pro každý monitor zvlášť), správa uživatelů, uživatelských skupin a oprávnění (oprávnění na jednotlivé funkce archivu i DICOM prohlížeče), oprava demografických údajů pacienta, odesílání vyšetření do výměnných sít.</w:t>
            </w:r>
          </w:p>
        </w:tc>
        <w:tc>
          <w:tcPr>
            <w:tcW w:w="1701" w:type="dxa"/>
            <w:vAlign w:val="center"/>
          </w:tcPr>
          <w:p w14:paraId="343CB21A" w14:textId="77777777" w:rsidR="00394A30" w:rsidRDefault="00394A30">
            <w:pPr>
              <w:jc w:val="center"/>
            </w:pPr>
          </w:p>
        </w:tc>
      </w:tr>
      <w:tr w:rsidR="00394A30" w14:paraId="439DC916" w14:textId="77777777">
        <w:tc>
          <w:tcPr>
            <w:tcW w:w="7366" w:type="dxa"/>
          </w:tcPr>
          <w:p w14:paraId="0C37571A" w14:textId="77777777" w:rsidR="00394A30" w:rsidRDefault="00000000">
            <w:r>
              <w:t xml:space="preserve">Import archivů 7z, </w:t>
            </w:r>
            <w:proofErr w:type="spellStart"/>
            <w:r>
              <w:t>rar</w:t>
            </w:r>
            <w:proofErr w:type="spellEnd"/>
            <w:r>
              <w:t xml:space="preserve">, </w:t>
            </w:r>
            <w:proofErr w:type="spellStart"/>
            <w:r>
              <w:t>iso</w:t>
            </w:r>
            <w:proofErr w:type="spellEnd"/>
            <w:r>
              <w:t xml:space="preserve"> a zip vč. šifrovaných archivů.</w:t>
            </w:r>
          </w:p>
        </w:tc>
        <w:tc>
          <w:tcPr>
            <w:tcW w:w="1701" w:type="dxa"/>
            <w:vAlign w:val="center"/>
          </w:tcPr>
          <w:p w14:paraId="42153BA4" w14:textId="77777777" w:rsidR="00394A30" w:rsidRDefault="00394A30">
            <w:pPr>
              <w:jc w:val="center"/>
            </w:pPr>
          </w:p>
        </w:tc>
      </w:tr>
      <w:tr w:rsidR="00394A30" w14:paraId="59BE4D60" w14:textId="77777777">
        <w:tc>
          <w:tcPr>
            <w:tcW w:w="7366" w:type="dxa"/>
          </w:tcPr>
          <w:p w14:paraId="173827E9" w14:textId="77777777" w:rsidR="00394A30" w:rsidRDefault="00000000">
            <w:r>
              <w:t>Neomezený počet DICOM kanálů, neomezená licence kapacity dat, neomezený počet zpracovaných a uložených studií.</w:t>
            </w:r>
          </w:p>
        </w:tc>
        <w:tc>
          <w:tcPr>
            <w:tcW w:w="1701" w:type="dxa"/>
            <w:vAlign w:val="center"/>
          </w:tcPr>
          <w:p w14:paraId="605FE418" w14:textId="77777777" w:rsidR="00394A30" w:rsidRDefault="00394A30">
            <w:pPr>
              <w:jc w:val="center"/>
            </w:pPr>
          </w:p>
        </w:tc>
      </w:tr>
      <w:tr w:rsidR="00394A30" w14:paraId="4601D6D8" w14:textId="77777777">
        <w:tc>
          <w:tcPr>
            <w:tcW w:w="7366" w:type="dxa"/>
          </w:tcPr>
          <w:p w14:paraId="74AB41D9" w14:textId="77777777" w:rsidR="00394A30" w:rsidRDefault="00000000">
            <w:r>
              <w:t>Automatické přeposílání obrazových dat na jiné DICOM destinace (auto-</w:t>
            </w:r>
            <w:proofErr w:type="spellStart"/>
            <w:r>
              <w:t>routing</w:t>
            </w:r>
            <w:proofErr w:type="spellEnd"/>
            <w:r>
              <w:t xml:space="preserve">), v rámci přeposílání musí být možná změna </w:t>
            </w:r>
            <w:proofErr w:type="spellStart"/>
            <w:r>
              <w:t>TransferSyntax</w:t>
            </w:r>
            <w:proofErr w:type="spellEnd"/>
            <w:r>
              <w:t xml:space="preserve"> za běhu.</w:t>
            </w:r>
          </w:p>
        </w:tc>
        <w:tc>
          <w:tcPr>
            <w:tcW w:w="1701" w:type="dxa"/>
            <w:vAlign w:val="center"/>
          </w:tcPr>
          <w:p w14:paraId="690A2A33" w14:textId="77777777" w:rsidR="00394A30" w:rsidRDefault="00394A30">
            <w:pPr>
              <w:jc w:val="center"/>
            </w:pPr>
          </w:p>
        </w:tc>
      </w:tr>
      <w:tr w:rsidR="00394A30" w14:paraId="65676A44" w14:textId="77777777">
        <w:tc>
          <w:tcPr>
            <w:tcW w:w="7366" w:type="dxa"/>
          </w:tcPr>
          <w:p w14:paraId="4F9C0106" w14:textId="77777777" w:rsidR="00394A30" w:rsidRDefault="00000000">
            <w:proofErr w:type="spellStart"/>
            <w:r>
              <w:t>Pre-fetching</w:t>
            </w:r>
            <w:proofErr w:type="spellEnd"/>
            <w:r>
              <w:t xml:space="preserve"> starších studií z centrálního serveru do jiných DICOM uzlů na základě přijaté žádanky z RIS (starší vyšetření budou </w:t>
            </w:r>
            <w:proofErr w:type="spellStart"/>
            <w:r>
              <w:t>předchystána</w:t>
            </w:r>
            <w:proofErr w:type="spellEnd"/>
            <w:r>
              <w:t xml:space="preserve"> ještě před příjmem vyšetření nového).</w:t>
            </w:r>
          </w:p>
        </w:tc>
        <w:tc>
          <w:tcPr>
            <w:tcW w:w="1701" w:type="dxa"/>
            <w:vAlign w:val="center"/>
          </w:tcPr>
          <w:p w14:paraId="2EE013E1" w14:textId="77777777" w:rsidR="00394A30" w:rsidRDefault="00394A30">
            <w:pPr>
              <w:jc w:val="center"/>
            </w:pPr>
          </w:p>
        </w:tc>
      </w:tr>
      <w:tr w:rsidR="00394A30" w14:paraId="03725FC4" w14:textId="77777777">
        <w:tc>
          <w:tcPr>
            <w:tcW w:w="7366" w:type="dxa"/>
          </w:tcPr>
          <w:p w14:paraId="4B649023" w14:textId="77777777" w:rsidR="00394A30" w:rsidRDefault="00000000">
            <w:r>
              <w:t xml:space="preserve">Kompatibilita se standardem DICOM verze 3.0, podpora pro </w:t>
            </w:r>
            <w:proofErr w:type="spellStart"/>
            <w:r>
              <w:t>Query</w:t>
            </w:r>
            <w:proofErr w:type="spellEnd"/>
            <w:r>
              <w:t>/</w:t>
            </w:r>
            <w:proofErr w:type="spellStart"/>
            <w:r>
              <w:t>Retrieve</w:t>
            </w:r>
            <w:proofErr w:type="spellEnd"/>
            <w:r>
              <w:t xml:space="preserve">, </w:t>
            </w:r>
            <w:proofErr w:type="spellStart"/>
            <w:r>
              <w:t>Store</w:t>
            </w:r>
            <w:proofErr w:type="spellEnd"/>
            <w:r>
              <w:t xml:space="preserve"> pro DICOM snímky v </w:t>
            </w:r>
            <w:proofErr w:type="spellStart"/>
            <w:r>
              <w:t>lossy</w:t>
            </w:r>
            <w:proofErr w:type="spellEnd"/>
            <w:r>
              <w:t xml:space="preserve"> a </w:t>
            </w:r>
            <w:proofErr w:type="spellStart"/>
            <w:r>
              <w:t>lossless</w:t>
            </w:r>
            <w:proofErr w:type="spellEnd"/>
            <w:r>
              <w:t xml:space="preserve"> kompresi pro výrazné zmenšení objemu přenášených dat po síti.</w:t>
            </w:r>
          </w:p>
        </w:tc>
        <w:tc>
          <w:tcPr>
            <w:tcW w:w="1701" w:type="dxa"/>
            <w:vAlign w:val="center"/>
          </w:tcPr>
          <w:p w14:paraId="6BFA7BF5" w14:textId="77777777" w:rsidR="00394A30" w:rsidRDefault="00394A30">
            <w:pPr>
              <w:jc w:val="center"/>
            </w:pPr>
          </w:p>
        </w:tc>
      </w:tr>
      <w:tr w:rsidR="00394A30" w14:paraId="53951B16" w14:textId="77777777">
        <w:tc>
          <w:tcPr>
            <w:tcW w:w="7366" w:type="dxa"/>
          </w:tcPr>
          <w:p w14:paraId="55D09C1F" w14:textId="77777777" w:rsidR="00394A30" w:rsidRDefault="00000000">
            <w:r>
              <w:t>Obrazová data musí být ukládána do systému ve standardním DICOM formátu v DICOM struktuře, vlastní obrazová data nesmí být ukládána do jakékoliv databáze a nesmí docházet k oddělování obrazové části DICOM dat a informací v DICOM hlavičce.</w:t>
            </w:r>
          </w:p>
        </w:tc>
        <w:tc>
          <w:tcPr>
            <w:tcW w:w="1701" w:type="dxa"/>
            <w:vAlign w:val="center"/>
          </w:tcPr>
          <w:p w14:paraId="3F023AC3" w14:textId="77777777" w:rsidR="00394A30" w:rsidRDefault="00394A30">
            <w:pPr>
              <w:jc w:val="center"/>
            </w:pPr>
          </w:p>
        </w:tc>
      </w:tr>
      <w:tr w:rsidR="00394A30" w14:paraId="3A00C90C" w14:textId="77777777">
        <w:tc>
          <w:tcPr>
            <w:tcW w:w="7366" w:type="dxa"/>
          </w:tcPr>
          <w:p w14:paraId="1A3D0970" w14:textId="77777777" w:rsidR="00394A30" w:rsidRDefault="00000000">
            <w:r>
              <w:t>Kromě obrazových dat musí archiv umožňovat ke studiím ukládat i strukturované dávkové reporty (SR) ve formátu DICOM.</w:t>
            </w:r>
          </w:p>
        </w:tc>
        <w:tc>
          <w:tcPr>
            <w:tcW w:w="1701" w:type="dxa"/>
            <w:vAlign w:val="center"/>
          </w:tcPr>
          <w:p w14:paraId="329FDD7D" w14:textId="77777777" w:rsidR="00394A30" w:rsidRDefault="00394A30">
            <w:pPr>
              <w:jc w:val="center"/>
            </w:pPr>
          </w:p>
        </w:tc>
      </w:tr>
      <w:tr w:rsidR="00394A30" w14:paraId="2F36E978" w14:textId="77777777">
        <w:tc>
          <w:tcPr>
            <w:tcW w:w="7366" w:type="dxa"/>
          </w:tcPr>
          <w:p w14:paraId="4B2D9385" w14:textId="77777777" w:rsidR="00394A30" w:rsidRDefault="00000000">
            <w:r>
              <w:t xml:space="preserve">Autentizace pomocí certifikátu, OAuth2 </w:t>
            </w:r>
            <w:proofErr w:type="spellStart"/>
            <w:r>
              <w:t>OpenID</w:t>
            </w:r>
            <w:proofErr w:type="spellEnd"/>
            <w:r>
              <w:t>, více faktorová autentizace (TOTP klíče).</w:t>
            </w:r>
          </w:p>
        </w:tc>
        <w:tc>
          <w:tcPr>
            <w:tcW w:w="1701" w:type="dxa"/>
            <w:vAlign w:val="center"/>
          </w:tcPr>
          <w:p w14:paraId="2E813E11" w14:textId="77777777" w:rsidR="00394A30" w:rsidRDefault="00394A30">
            <w:pPr>
              <w:jc w:val="center"/>
            </w:pPr>
          </w:p>
        </w:tc>
      </w:tr>
      <w:tr w:rsidR="00394A30" w14:paraId="71CC50C8" w14:textId="77777777">
        <w:tc>
          <w:tcPr>
            <w:tcW w:w="7366" w:type="dxa"/>
          </w:tcPr>
          <w:p w14:paraId="68A76B85" w14:textId="77777777" w:rsidR="00394A30" w:rsidRDefault="00000000">
            <w:r>
              <w:t>Řízení přístupu k datům podle typu operací, možnost definovat statická přiřazování oprávnění.</w:t>
            </w:r>
          </w:p>
        </w:tc>
        <w:tc>
          <w:tcPr>
            <w:tcW w:w="1701" w:type="dxa"/>
            <w:vAlign w:val="center"/>
          </w:tcPr>
          <w:p w14:paraId="79D4BFBB" w14:textId="77777777" w:rsidR="00394A30" w:rsidRDefault="00394A30">
            <w:pPr>
              <w:jc w:val="center"/>
            </w:pPr>
          </w:p>
        </w:tc>
      </w:tr>
      <w:tr w:rsidR="00394A30" w14:paraId="39D5830A" w14:textId="77777777">
        <w:tc>
          <w:tcPr>
            <w:tcW w:w="7366" w:type="dxa"/>
          </w:tcPr>
          <w:p w14:paraId="4643FF91" w14:textId="77777777" w:rsidR="00394A30" w:rsidRDefault="00000000">
            <w:r>
              <w:t>Podpora HL7 zpráv ADT, ORM, ORU.</w:t>
            </w:r>
          </w:p>
        </w:tc>
        <w:tc>
          <w:tcPr>
            <w:tcW w:w="1701" w:type="dxa"/>
            <w:vAlign w:val="center"/>
          </w:tcPr>
          <w:p w14:paraId="39B041B5" w14:textId="77777777" w:rsidR="00394A30" w:rsidRDefault="00394A30">
            <w:pPr>
              <w:jc w:val="center"/>
            </w:pPr>
          </w:p>
        </w:tc>
      </w:tr>
      <w:tr w:rsidR="00394A30" w14:paraId="377A27A6" w14:textId="77777777">
        <w:tc>
          <w:tcPr>
            <w:tcW w:w="7366" w:type="dxa"/>
          </w:tcPr>
          <w:p w14:paraId="4F10D8A5" w14:textId="77777777" w:rsidR="00394A30" w:rsidRDefault="00000000">
            <w:r>
              <w:t>Možnost konverze transfer syntaxí.</w:t>
            </w:r>
          </w:p>
        </w:tc>
        <w:tc>
          <w:tcPr>
            <w:tcW w:w="1701" w:type="dxa"/>
            <w:vAlign w:val="center"/>
          </w:tcPr>
          <w:p w14:paraId="54540CC1" w14:textId="77777777" w:rsidR="00394A30" w:rsidRDefault="00394A30">
            <w:pPr>
              <w:jc w:val="center"/>
            </w:pPr>
          </w:p>
        </w:tc>
      </w:tr>
      <w:tr w:rsidR="00394A30" w14:paraId="3CDA54C7" w14:textId="77777777">
        <w:tc>
          <w:tcPr>
            <w:tcW w:w="7366" w:type="dxa"/>
          </w:tcPr>
          <w:p w14:paraId="644FD57B" w14:textId="77777777" w:rsidR="00394A30" w:rsidRDefault="00000000">
            <w:r>
              <w:t>Podpora šifrované komunikace prostřednictvím TLS.</w:t>
            </w:r>
          </w:p>
        </w:tc>
        <w:tc>
          <w:tcPr>
            <w:tcW w:w="1701" w:type="dxa"/>
            <w:vAlign w:val="center"/>
          </w:tcPr>
          <w:p w14:paraId="65BDC924" w14:textId="77777777" w:rsidR="00394A30" w:rsidRDefault="00394A30">
            <w:pPr>
              <w:jc w:val="center"/>
            </w:pPr>
          </w:p>
        </w:tc>
      </w:tr>
      <w:tr w:rsidR="00394A30" w14:paraId="7043A4CF" w14:textId="77777777">
        <w:tc>
          <w:tcPr>
            <w:tcW w:w="7366" w:type="dxa"/>
          </w:tcPr>
          <w:p w14:paraId="1EF322F2" w14:textId="77777777" w:rsidR="00394A30" w:rsidRDefault="00000000">
            <w:r>
              <w:t>Podpora šifrování archivovaných dat.</w:t>
            </w:r>
          </w:p>
        </w:tc>
        <w:tc>
          <w:tcPr>
            <w:tcW w:w="1701" w:type="dxa"/>
            <w:vAlign w:val="center"/>
          </w:tcPr>
          <w:p w14:paraId="709070C8" w14:textId="77777777" w:rsidR="00394A30" w:rsidRDefault="00394A30">
            <w:pPr>
              <w:jc w:val="center"/>
            </w:pPr>
          </w:p>
        </w:tc>
      </w:tr>
      <w:tr w:rsidR="00394A30" w14:paraId="1CEFC6C9" w14:textId="77777777">
        <w:tc>
          <w:tcPr>
            <w:tcW w:w="7366" w:type="dxa"/>
          </w:tcPr>
          <w:p w14:paraId="6E1698A6" w14:textId="77777777" w:rsidR="00394A30" w:rsidRDefault="00000000">
            <w:r>
              <w:t xml:space="preserve">Podpora diakritiky, možnost </w:t>
            </w:r>
            <w:proofErr w:type="spellStart"/>
            <w:r>
              <w:t>asciifikace</w:t>
            </w:r>
            <w:proofErr w:type="spellEnd"/>
            <w:r>
              <w:t xml:space="preserve">, kódování včetně </w:t>
            </w:r>
            <w:proofErr w:type="spellStart"/>
            <w:r>
              <w:t>Character</w:t>
            </w:r>
            <w:proofErr w:type="spellEnd"/>
            <w:r>
              <w:t xml:space="preserve"> </w:t>
            </w:r>
            <w:proofErr w:type="spellStart"/>
            <w:r>
              <w:t>Extension</w:t>
            </w:r>
            <w:proofErr w:type="spellEnd"/>
            <w:r>
              <w:t>.</w:t>
            </w:r>
          </w:p>
        </w:tc>
        <w:tc>
          <w:tcPr>
            <w:tcW w:w="1701" w:type="dxa"/>
            <w:vAlign w:val="center"/>
          </w:tcPr>
          <w:p w14:paraId="73EB1775" w14:textId="77777777" w:rsidR="00394A30" w:rsidRDefault="00394A30">
            <w:pPr>
              <w:jc w:val="center"/>
            </w:pPr>
          </w:p>
        </w:tc>
      </w:tr>
      <w:tr w:rsidR="00394A30" w14:paraId="702691C1" w14:textId="77777777">
        <w:tc>
          <w:tcPr>
            <w:tcW w:w="7366" w:type="dxa"/>
          </w:tcPr>
          <w:p w14:paraId="35A9DA6C" w14:textId="77777777" w:rsidR="00394A30" w:rsidRDefault="00000000">
            <w:r>
              <w:t xml:space="preserve">Podpora komunikace s NIS pomocí web </w:t>
            </w:r>
            <w:proofErr w:type="spellStart"/>
            <w:r>
              <w:t>services</w:t>
            </w:r>
            <w:proofErr w:type="spellEnd"/>
            <w:r>
              <w:t>.</w:t>
            </w:r>
          </w:p>
        </w:tc>
        <w:tc>
          <w:tcPr>
            <w:tcW w:w="1701" w:type="dxa"/>
            <w:vAlign w:val="center"/>
          </w:tcPr>
          <w:p w14:paraId="502D2D10" w14:textId="77777777" w:rsidR="00394A30" w:rsidRDefault="00394A30">
            <w:pPr>
              <w:jc w:val="center"/>
            </w:pPr>
          </w:p>
        </w:tc>
      </w:tr>
      <w:tr w:rsidR="00394A30" w14:paraId="246E9BF3" w14:textId="77777777">
        <w:tc>
          <w:tcPr>
            <w:tcW w:w="7366" w:type="dxa"/>
          </w:tcPr>
          <w:p w14:paraId="12B29C3E" w14:textId="77777777" w:rsidR="00394A30" w:rsidRDefault="00000000">
            <w:r>
              <w:t xml:space="preserve">Komunikace s NIS přes mezinárodní standard HL7 (podpora HL7 zpráv ADT, ORM, ORU). </w:t>
            </w:r>
          </w:p>
        </w:tc>
        <w:tc>
          <w:tcPr>
            <w:tcW w:w="1701" w:type="dxa"/>
            <w:vAlign w:val="center"/>
          </w:tcPr>
          <w:p w14:paraId="6920A534" w14:textId="77777777" w:rsidR="00394A30" w:rsidRDefault="00394A30">
            <w:pPr>
              <w:jc w:val="center"/>
            </w:pPr>
          </w:p>
        </w:tc>
      </w:tr>
      <w:tr w:rsidR="00394A30" w14:paraId="302F4115" w14:textId="77777777">
        <w:tc>
          <w:tcPr>
            <w:tcW w:w="7366" w:type="dxa"/>
          </w:tcPr>
          <w:p w14:paraId="42618DDF" w14:textId="77777777" w:rsidR="00394A30" w:rsidRDefault="00000000">
            <w:r>
              <w:t xml:space="preserve">Příjem podkladů pro sestavení MWL (pracovní seznam modality) a jejich distribuce modalitám na základě žádanky vystavené v NIS (zachování stávající komunikace s NIS </w:t>
            </w:r>
            <w:proofErr w:type="spellStart"/>
            <w:r>
              <w:t>Hicomp</w:t>
            </w:r>
            <w:proofErr w:type="spellEnd"/>
            <w:r>
              <w:t>, u nových řešení součinnost s dodavatelem NIS zajistí Zadavatel).</w:t>
            </w:r>
          </w:p>
        </w:tc>
        <w:tc>
          <w:tcPr>
            <w:tcW w:w="1701" w:type="dxa"/>
            <w:vAlign w:val="center"/>
          </w:tcPr>
          <w:p w14:paraId="338C80A0" w14:textId="77777777" w:rsidR="00394A30" w:rsidRDefault="00394A30">
            <w:pPr>
              <w:jc w:val="center"/>
            </w:pPr>
          </w:p>
        </w:tc>
      </w:tr>
      <w:tr w:rsidR="00394A30" w14:paraId="4A28E454" w14:textId="77777777">
        <w:tc>
          <w:tcPr>
            <w:tcW w:w="7366" w:type="dxa"/>
          </w:tcPr>
          <w:p w14:paraId="1FE09CFF" w14:textId="77777777" w:rsidR="00394A30" w:rsidRDefault="00000000">
            <w:r>
              <w:t xml:space="preserve">Podpora MPPS (Modality </w:t>
            </w:r>
            <w:proofErr w:type="spellStart"/>
            <w:r>
              <w:t>Performed</w:t>
            </w:r>
            <w:proofErr w:type="spellEnd"/>
            <w:r>
              <w:t xml:space="preserve"> </w:t>
            </w:r>
            <w:proofErr w:type="spellStart"/>
            <w:r>
              <w:t>Procedure</w:t>
            </w:r>
            <w:proofErr w:type="spellEnd"/>
            <w:r>
              <w:t xml:space="preserve"> Step) - informace od modality o pořízení snímků či provedení nějaké části plánovaného úkonu.</w:t>
            </w:r>
          </w:p>
        </w:tc>
        <w:tc>
          <w:tcPr>
            <w:tcW w:w="1701" w:type="dxa"/>
            <w:vAlign w:val="center"/>
          </w:tcPr>
          <w:p w14:paraId="06F3985D" w14:textId="77777777" w:rsidR="00394A30" w:rsidRDefault="00394A30">
            <w:pPr>
              <w:jc w:val="center"/>
            </w:pPr>
          </w:p>
        </w:tc>
      </w:tr>
      <w:tr w:rsidR="00394A30" w14:paraId="1F90C472" w14:textId="77777777">
        <w:tc>
          <w:tcPr>
            <w:tcW w:w="7366" w:type="dxa"/>
          </w:tcPr>
          <w:p w14:paraId="1DCC3B5E" w14:textId="77777777" w:rsidR="00394A30" w:rsidRDefault="00000000">
            <w:r>
              <w:lastRenderedPageBreak/>
              <w:t>Automatické odesílání vyšetření do výměnných sítí dle definovaných parametrů (např. IČP).</w:t>
            </w:r>
          </w:p>
        </w:tc>
        <w:tc>
          <w:tcPr>
            <w:tcW w:w="1701" w:type="dxa"/>
            <w:vAlign w:val="center"/>
          </w:tcPr>
          <w:p w14:paraId="3F0E3840" w14:textId="77777777" w:rsidR="00394A30" w:rsidRDefault="00394A30">
            <w:pPr>
              <w:jc w:val="center"/>
            </w:pPr>
          </w:p>
        </w:tc>
      </w:tr>
      <w:tr w:rsidR="00394A30" w14:paraId="1694B47B" w14:textId="77777777">
        <w:tc>
          <w:tcPr>
            <w:tcW w:w="7366" w:type="dxa"/>
          </w:tcPr>
          <w:p w14:paraId="0FCD110C" w14:textId="77777777" w:rsidR="00394A30" w:rsidRDefault="00000000">
            <w:r>
              <w:t xml:space="preserve">Obrazová i souborová komprese, </w:t>
            </w:r>
          </w:p>
        </w:tc>
        <w:tc>
          <w:tcPr>
            <w:tcW w:w="1701" w:type="dxa"/>
            <w:vAlign w:val="center"/>
          </w:tcPr>
          <w:p w14:paraId="4913C5B6" w14:textId="77777777" w:rsidR="00394A30" w:rsidRDefault="00394A30">
            <w:pPr>
              <w:jc w:val="center"/>
            </w:pPr>
          </w:p>
        </w:tc>
      </w:tr>
      <w:tr w:rsidR="00394A30" w14:paraId="6245D1EA" w14:textId="77777777">
        <w:tc>
          <w:tcPr>
            <w:tcW w:w="7366" w:type="dxa"/>
          </w:tcPr>
          <w:p w14:paraId="61DC9298" w14:textId="77777777" w:rsidR="00394A30" w:rsidRDefault="00000000">
            <w:r>
              <w:t xml:space="preserve">Editace dat pomocí korekcí. </w:t>
            </w:r>
          </w:p>
        </w:tc>
        <w:tc>
          <w:tcPr>
            <w:tcW w:w="1701" w:type="dxa"/>
            <w:vAlign w:val="center"/>
          </w:tcPr>
          <w:p w14:paraId="65F0CF19" w14:textId="77777777" w:rsidR="00394A30" w:rsidRDefault="00394A30">
            <w:pPr>
              <w:jc w:val="center"/>
            </w:pPr>
          </w:p>
        </w:tc>
      </w:tr>
      <w:tr w:rsidR="00394A30" w14:paraId="7437A76E" w14:textId="77777777">
        <w:tc>
          <w:tcPr>
            <w:tcW w:w="7366" w:type="dxa"/>
          </w:tcPr>
          <w:p w14:paraId="2B92E410" w14:textId="77777777" w:rsidR="00394A30" w:rsidRDefault="00000000">
            <w:proofErr w:type="spellStart"/>
            <w:proofErr w:type="gramStart"/>
            <w:r>
              <w:t>Errorcache</w:t>
            </w:r>
            <w:proofErr w:type="spellEnd"/>
            <w:r>
              <w:t xml:space="preserve"> - dočasné</w:t>
            </w:r>
            <w:proofErr w:type="gramEnd"/>
            <w:r>
              <w:t xml:space="preserve"> úložiště pro vyšetření, která nebylo možné uložit do archivu, součástí musí být možnost data editovat a následně dodatečně již opravená data do archivu uložit.</w:t>
            </w:r>
          </w:p>
        </w:tc>
        <w:tc>
          <w:tcPr>
            <w:tcW w:w="1701" w:type="dxa"/>
            <w:vAlign w:val="center"/>
          </w:tcPr>
          <w:p w14:paraId="3D43FC6D" w14:textId="77777777" w:rsidR="00394A30" w:rsidRDefault="00394A30">
            <w:pPr>
              <w:jc w:val="center"/>
            </w:pPr>
          </w:p>
        </w:tc>
      </w:tr>
      <w:tr w:rsidR="00394A30" w14:paraId="726E9E84" w14:textId="77777777">
        <w:tc>
          <w:tcPr>
            <w:tcW w:w="7366" w:type="dxa"/>
          </w:tcPr>
          <w:p w14:paraId="161F0BE4" w14:textId="77777777" w:rsidR="00394A30" w:rsidRDefault="00000000">
            <w:r>
              <w:t>Podpora předávání logů systému do logovacích systémů třetích stran.</w:t>
            </w:r>
          </w:p>
        </w:tc>
        <w:tc>
          <w:tcPr>
            <w:tcW w:w="1701" w:type="dxa"/>
            <w:vAlign w:val="center"/>
          </w:tcPr>
          <w:p w14:paraId="4017F714" w14:textId="77777777" w:rsidR="00394A30" w:rsidRDefault="00394A30">
            <w:pPr>
              <w:jc w:val="center"/>
            </w:pPr>
          </w:p>
        </w:tc>
      </w:tr>
      <w:tr w:rsidR="00394A30" w14:paraId="16BEA42F" w14:textId="77777777">
        <w:tc>
          <w:tcPr>
            <w:tcW w:w="7366" w:type="dxa"/>
          </w:tcPr>
          <w:p w14:paraId="18C42F82" w14:textId="77777777" w:rsidR="00394A30" w:rsidRDefault="00000000">
            <w:r>
              <w:t>Statistiky a denní přehledy (minimálně údaje o denním a celkovém počtu uložených studií, celkovém objemu a denním přírůstku obrazových dat).</w:t>
            </w:r>
          </w:p>
        </w:tc>
        <w:tc>
          <w:tcPr>
            <w:tcW w:w="1701" w:type="dxa"/>
            <w:vAlign w:val="center"/>
          </w:tcPr>
          <w:p w14:paraId="395F43F3" w14:textId="77777777" w:rsidR="00394A30" w:rsidRDefault="00394A30">
            <w:pPr>
              <w:jc w:val="center"/>
            </w:pPr>
          </w:p>
        </w:tc>
      </w:tr>
      <w:tr w:rsidR="00394A30" w14:paraId="01E19BBA" w14:textId="77777777">
        <w:tc>
          <w:tcPr>
            <w:tcW w:w="7366" w:type="dxa"/>
          </w:tcPr>
          <w:p w14:paraId="2AAD6FEC" w14:textId="77777777" w:rsidR="00394A30" w:rsidRDefault="00000000">
            <w:r>
              <w:t>Trvalý vzdálený dohled a monitoring stavu systému v režimu 24x7 s eskalačními pravidly pro řešení nežádoucích stavů.</w:t>
            </w:r>
          </w:p>
        </w:tc>
        <w:tc>
          <w:tcPr>
            <w:tcW w:w="1701" w:type="dxa"/>
            <w:vAlign w:val="center"/>
          </w:tcPr>
          <w:p w14:paraId="5AAB8A33" w14:textId="77777777" w:rsidR="00394A30" w:rsidRDefault="00394A30">
            <w:pPr>
              <w:jc w:val="center"/>
            </w:pPr>
          </w:p>
        </w:tc>
      </w:tr>
      <w:tr w:rsidR="00394A30" w14:paraId="6DDD77DD" w14:textId="77777777">
        <w:tc>
          <w:tcPr>
            <w:tcW w:w="7366" w:type="dxa"/>
          </w:tcPr>
          <w:p w14:paraId="471FCFD7" w14:textId="77777777" w:rsidR="00394A30" w:rsidRDefault="00000000">
            <w:r>
              <w:t>Oddělený obrazový archiv pro data z externích zdrojů. Data budou do tohoto archivu přicházet automaticky ze sítí pro výměnu obrazové dokumentace, nebo importována manuálně. Ke snímkům archivu se bude přistupovat přes prostředí DICOM prohlížeče. Vyšetření v tomto archivu uložená bude možné na základě definovaných pravidel automaticky odesílat do lokálního archivu PACS, nebo z prostředí webového administračního prostředí pro správu PACS nebo DICOM prohlížeče přesouvat manuálně.  Archiv musí umožňovat automatické opravy formátu ID pacienta bez modifikace originálních dat a unikátních identifikačních parametrů vyšetření. Možnost nastavení automatického odmazávání po definované době.</w:t>
            </w:r>
          </w:p>
        </w:tc>
        <w:tc>
          <w:tcPr>
            <w:tcW w:w="1701" w:type="dxa"/>
            <w:vAlign w:val="center"/>
          </w:tcPr>
          <w:p w14:paraId="2A753776" w14:textId="77777777" w:rsidR="00394A30" w:rsidRDefault="00394A30">
            <w:pPr>
              <w:jc w:val="center"/>
            </w:pPr>
          </w:p>
        </w:tc>
      </w:tr>
      <w:tr w:rsidR="00394A30" w14:paraId="0B7BB61A" w14:textId="77777777">
        <w:tc>
          <w:tcPr>
            <w:tcW w:w="7366" w:type="dxa"/>
          </w:tcPr>
          <w:p w14:paraId="644C5CDB" w14:textId="77777777" w:rsidR="00394A30" w:rsidRDefault="00000000">
            <w:r>
              <w:t xml:space="preserve">Napojení na </w:t>
            </w:r>
            <w:proofErr w:type="spellStart"/>
            <w:proofErr w:type="gramStart"/>
            <w:r>
              <w:t>ePACS</w:t>
            </w:r>
            <w:proofErr w:type="spellEnd"/>
            <w:r>
              <w:t xml:space="preserve"> - platforma</w:t>
            </w:r>
            <w:proofErr w:type="gramEnd"/>
            <w:r>
              <w:t xml:space="preserve"> pro výměnu zdravotnických dat mezi poskytovateli zdravotních služeb. Odesílání vyšetření z uživatelského prostředí správy systému a DICOM prohlížeče.</w:t>
            </w:r>
          </w:p>
        </w:tc>
        <w:tc>
          <w:tcPr>
            <w:tcW w:w="1701" w:type="dxa"/>
            <w:vAlign w:val="center"/>
          </w:tcPr>
          <w:p w14:paraId="60933C43" w14:textId="77777777" w:rsidR="00394A30" w:rsidRDefault="00394A30">
            <w:pPr>
              <w:jc w:val="center"/>
            </w:pPr>
          </w:p>
        </w:tc>
      </w:tr>
      <w:tr w:rsidR="00394A30" w14:paraId="13B25C85" w14:textId="77777777">
        <w:tc>
          <w:tcPr>
            <w:tcW w:w="7366" w:type="dxa"/>
          </w:tcPr>
          <w:p w14:paraId="2405BC2B" w14:textId="77777777" w:rsidR="00394A30" w:rsidRDefault="00000000">
            <w:r>
              <w:t xml:space="preserve">Duplikace dat na záložní server umístěný v sekundární lokalitě, možnost přepnutí provozu na záložní server v případě výpadku jedné lokality (např. při výpadku napájení </w:t>
            </w:r>
            <w:proofErr w:type="gramStart"/>
            <w:r>
              <w:t>a nebo</w:t>
            </w:r>
            <w:proofErr w:type="gramEnd"/>
            <w:r>
              <w:t xml:space="preserve"> závady na HW).</w:t>
            </w:r>
          </w:p>
        </w:tc>
        <w:tc>
          <w:tcPr>
            <w:tcW w:w="1701" w:type="dxa"/>
            <w:vAlign w:val="center"/>
          </w:tcPr>
          <w:p w14:paraId="0B10845B" w14:textId="77777777" w:rsidR="00394A30" w:rsidRDefault="00394A30">
            <w:pPr>
              <w:jc w:val="center"/>
            </w:pPr>
          </w:p>
        </w:tc>
      </w:tr>
      <w:tr w:rsidR="00394A30" w14:paraId="7559E8F0" w14:textId="77777777">
        <w:tc>
          <w:tcPr>
            <w:tcW w:w="7366" w:type="dxa"/>
          </w:tcPr>
          <w:p w14:paraId="3C941C67" w14:textId="77777777" w:rsidR="00394A30" w:rsidRDefault="00394A30"/>
        </w:tc>
        <w:tc>
          <w:tcPr>
            <w:tcW w:w="1701" w:type="dxa"/>
            <w:vAlign w:val="center"/>
          </w:tcPr>
          <w:p w14:paraId="19127D34" w14:textId="77777777" w:rsidR="00394A30" w:rsidRDefault="00394A30">
            <w:pPr>
              <w:jc w:val="center"/>
            </w:pPr>
          </w:p>
        </w:tc>
      </w:tr>
    </w:tbl>
    <w:p w14:paraId="154A301B" w14:textId="77777777" w:rsidR="00394A30" w:rsidRDefault="00394A30"/>
    <w:p w14:paraId="5A244B75" w14:textId="77777777" w:rsidR="00394A30" w:rsidRDefault="00000000">
      <w:pPr>
        <w:pStyle w:val="Nadpis2"/>
        <w:numPr>
          <w:ilvl w:val="1"/>
          <w:numId w:val="1"/>
        </w:numPr>
      </w:pPr>
      <w:r>
        <w:t>Oddělený obrazový archiv pro data z externích zdrojů</w:t>
      </w:r>
    </w:p>
    <w:p w14:paraId="3D6FA491" w14:textId="77777777" w:rsidR="00394A30" w:rsidRDefault="00000000">
      <w:r>
        <w:t>Zadavatel požaduje dodávku odděleného obrazového archivu pro data z externích zdrojů. Data budou do tohoto archivu přicházet automaticky ze sítí pro výměnu obrazové dokumentace, nebo importována manuálně. Ke snímkům archivu se bude přistupovat přes prostředí webového DICOM prohlížeče.</w:t>
      </w:r>
    </w:p>
    <w:tbl>
      <w:tblPr>
        <w:tblStyle w:val="a0"/>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08"/>
        <w:gridCol w:w="1559"/>
      </w:tblGrid>
      <w:tr w:rsidR="00394A30" w14:paraId="68C19B09" w14:textId="77777777">
        <w:tc>
          <w:tcPr>
            <w:tcW w:w="7508" w:type="dxa"/>
            <w:shd w:val="clear" w:color="auto" w:fill="D9D9D9"/>
          </w:tcPr>
          <w:p w14:paraId="7F091913" w14:textId="77777777" w:rsidR="00394A30" w:rsidRDefault="00000000">
            <w:pPr>
              <w:rPr>
                <w:b/>
              </w:rPr>
            </w:pPr>
            <w:r>
              <w:rPr>
                <w:b/>
              </w:rPr>
              <w:t>Požadavek</w:t>
            </w:r>
          </w:p>
        </w:tc>
        <w:tc>
          <w:tcPr>
            <w:tcW w:w="1559" w:type="dxa"/>
            <w:shd w:val="clear" w:color="auto" w:fill="D9D9D9"/>
            <w:vAlign w:val="center"/>
          </w:tcPr>
          <w:p w14:paraId="1B13FC45" w14:textId="77777777" w:rsidR="00394A30" w:rsidRDefault="00000000">
            <w:pPr>
              <w:jc w:val="center"/>
              <w:rPr>
                <w:b/>
              </w:rPr>
            </w:pPr>
            <w:r>
              <w:rPr>
                <w:b/>
              </w:rPr>
              <w:t>Splňuje ANO/NE</w:t>
            </w:r>
          </w:p>
        </w:tc>
      </w:tr>
      <w:tr w:rsidR="00394A30" w14:paraId="7E05907A" w14:textId="77777777">
        <w:tc>
          <w:tcPr>
            <w:tcW w:w="7508" w:type="dxa"/>
          </w:tcPr>
          <w:p w14:paraId="66659C68" w14:textId="77777777" w:rsidR="00394A30" w:rsidRDefault="00000000">
            <w:r>
              <w:t>Automatické odesílání vyšetření do PACS archivu na základě definovaných pravidel, nebo z prostředí webového DICOM prohlížeče přesouvat manuálně.  Možnost nastavení automatického odmazávání po definované době.</w:t>
            </w:r>
          </w:p>
        </w:tc>
        <w:tc>
          <w:tcPr>
            <w:tcW w:w="1559" w:type="dxa"/>
            <w:vAlign w:val="center"/>
          </w:tcPr>
          <w:p w14:paraId="632E3073" w14:textId="77777777" w:rsidR="00394A30" w:rsidRDefault="00394A30">
            <w:pPr>
              <w:jc w:val="center"/>
            </w:pPr>
          </w:p>
        </w:tc>
      </w:tr>
      <w:tr w:rsidR="00394A30" w14:paraId="042294F6" w14:textId="77777777">
        <w:tc>
          <w:tcPr>
            <w:tcW w:w="7508" w:type="dxa"/>
          </w:tcPr>
          <w:p w14:paraId="36849D52" w14:textId="77777777" w:rsidR="00394A30" w:rsidRDefault="00000000">
            <w:r>
              <w:t xml:space="preserve">Import archivů 7z, </w:t>
            </w:r>
            <w:proofErr w:type="spellStart"/>
            <w:r>
              <w:t>rar</w:t>
            </w:r>
            <w:proofErr w:type="spellEnd"/>
            <w:r>
              <w:t xml:space="preserve">, </w:t>
            </w:r>
            <w:proofErr w:type="spellStart"/>
            <w:r>
              <w:t>iso</w:t>
            </w:r>
            <w:proofErr w:type="spellEnd"/>
            <w:r>
              <w:t xml:space="preserve"> a zip vč. šifrovaných archivů.</w:t>
            </w:r>
          </w:p>
        </w:tc>
        <w:tc>
          <w:tcPr>
            <w:tcW w:w="1559" w:type="dxa"/>
            <w:vAlign w:val="center"/>
          </w:tcPr>
          <w:p w14:paraId="18941627" w14:textId="77777777" w:rsidR="00394A30" w:rsidRDefault="00394A30">
            <w:pPr>
              <w:jc w:val="center"/>
            </w:pPr>
          </w:p>
        </w:tc>
      </w:tr>
      <w:tr w:rsidR="00394A30" w14:paraId="07652272" w14:textId="77777777">
        <w:tc>
          <w:tcPr>
            <w:tcW w:w="7508" w:type="dxa"/>
          </w:tcPr>
          <w:p w14:paraId="3DB95D16" w14:textId="77777777" w:rsidR="00394A30" w:rsidRDefault="00000000">
            <w:r>
              <w:t>Archiv musí umožňovat automatické opravy formátu ID pacienta bez modifikace originálních dat a unikátních identifikačních parametrů vyšetření.</w:t>
            </w:r>
          </w:p>
        </w:tc>
        <w:tc>
          <w:tcPr>
            <w:tcW w:w="1559" w:type="dxa"/>
            <w:vAlign w:val="center"/>
          </w:tcPr>
          <w:p w14:paraId="0B34E5EB" w14:textId="77777777" w:rsidR="00394A30" w:rsidRDefault="00394A30">
            <w:pPr>
              <w:jc w:val="center"/>
            </w:pPr>
          </w:p>
        </w:tc>
      </w:tr>
      <w:tr w:rsidR="00394A30" w14:paraId="3AFEE0AF" w14:textId="77777777">
        <w:tc>
          <w:tcPr>
            <w:tcW w:w="7508" w:type="dxa"/>
            <w:vAlign w:val="center"/>
          </w:tcPr>
          <w:p w14:paraId="4DE71A1F" w14:textId="77777777" w:rsidR="00394A30" w:rsidRDefault="00000000">
            <w:r>
              <w:t>Možnost nastavení automatického odmazávání po definované době.</w:t>
            </w:r>
          </w:p>
        </w:tc>
        <w:tc>
          <w:tcPr>
            <w:tcW w:w="1559" w:type="dxa"/>
            <w:vAlign w:val="center"/>
          </w:tcPr>
          <w:p w14:paraId="35E205A2" w14:textId="77777777" w:rsidR="00394A30" w:rsidRDefault="00394A30">
            <w:pPr>
              <w:jc w:val="center"/>
            </w:pPr>
          </w:p>
        </w:tc>
      </w:tr>
      <w:tr w:rsidR="00394A30" w14:paraId="3E321E08" w14:textId="77777777">
        <w:tc>
          <w:tcPr>
            <w:tcW w:w="7508" w:type="dxa"/>
            <w:vAlign w:val="center"/>
          </w:tcPr>
          <w:p w14:paraId="5EFE6254" w14:textId="77777777" w:rsidR="00394A30" w:rsidRDefault="00000000">
            <w:r>
              <w:rPr>
                <w:color w:val="000000"/>
              </w:rPr>
              <w:t>Neomezená licence kapacity dat, neomezený počet zpracovaných a uložených vyšetření.</w:t>
            </w:r>
          </w:p>
        </w:tc>
        <w:tc>
          <w:tcPr>
            <w:tcW w:w="1559" w:type="dxa"/>
            <w:vAlign w:val="center"/>
          </w:tcPr>
          <w:p w14:paraId="600F18AA" w14:textId="77777777" w:rsidR="00394A30" w:rsidRDefault="00394A30">
            <w:pPr>
              <w:jc w:val="center"/>
            </w:pPr>
          </w:p>
        </w:tc>
      </w:tr>
    </w:tbl>
    <w:p w14:paraId="23B6DE71" w14:textId="77777777" w:rsidR="00394A30" w:rsidRDefault="00394A30"/>
    <w:p w14:paraId="39805E1B" w14:textId="77777777" w:rsidR="00394A30" w:rsidRDefault="00000000">
      <w:pPr>
        <w:pStyle w:val="Nadpis2"/>
        <w:numPr>
          <w:ilvl w:val="1"/>
          <w:numId w:val="1"/>
        </w:numPr>
      </w:pPr>
      <w:r>
        <w:lastRenderedPageBreak/>
        <w:t>Požadavky na DICOM prohlížeč</w:t>
      </w:r>
    </w:p>
    <w:p w14:paraId="0CA70F79" w14:textId="77777777" w:rsidR="00394A30" w:rsidRDefault="00000000">
      <w:r>
        <w:t xml:space="preserve">Zadavatel požaduje dodávku </w:t>
      </w:r>
      <w:proofErr w:type="spellStart"/>
      <w:r>
        <w:t>multimodalitního</w:t>
      </w:r>
      <w:proofErr w:type="spellEnd"/>
      <w:r>
        <w:t xml:space="preserve"> centrálního DICOM prohlížeče určeného pro diagnostické použití s architekturou server-klient.</w:t>
      </w:r>
    </w:p>
    <w:p w14:paraId="00094A63" w14:textId="77777777" w:rsidR="00394A30" w:rsidRDefault="00000000">
      <w:pPr>
        <w:pStyle w:val="Nadpis3"/>
        <w:numPr>
          <w:ilvl w:val="2"/>
          <w:numId w:val="1"/>
        </w:numPr>
      </w:pPr>
      <w:r>
        <w:t>Požadavky na diagnostickou verzi DICOM prohlížeče</w:t>
      </w:r>
    </w:p>
    <w:tbl>
      <w:tblPr>
        <w:tblStyle w:val="a1"/>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66"/>
        <w:gridCol w:w="1701"/>
      </w:tblGrid>
      <w:tr w:rsidR="00394A30" w14:paraId="542F90C0" w14:textId="77777777">
        <w:tc>
          <w:tcPr>
            <w:tcW w:w="7366" w:type="dxa"/>
            <w:shd w:val="clear" w:color="auto" w:fill="D9D9D9"/>
          </w:tcPr>
          <w:p w14:paraId="7F7758A1" w14:textId="77777777" w:rsidR="00394A30" w:rsidRDefault="00000000">
            <w:r>
              <w:t>Požadavek</w:t>
            </w:r>
          </w:p>
        </w:tc>
        <w:tc>
          <w:tcPr>
            <w:tcW w:w="1701" w:type="dxa"/>
            <w:shd w:val="clear" w:color="auto" w:fill="D9D9D9"/>
            <w:vAlign w:val="center"/>
          </w:tcPr>
          <w:p w14:paraId="20902030" w14:textId="77777777" w:rsidR="00394A30" w:rsidRDefault="00000000">
            <w:pPr>
              <w:jc w:val="center"/>
            </w:pPr>
            <w:r>
              <w:t>Splňuje ANO/NE</w:t>
            </w:r>
          </w:p>
        </w:tc>
      </w:tr>
      <w:tr w:rsidR="00394A30" w14:paraId="28E92436" w14:textId="77777777">
        <w:tc>
          <w:tcPr>
            <w:tcW w:w="7366" w:type="dxa"/>
          </w:tcPr>
          <w:p w14:paraId="3FD1023F" w14:textId="77777777" w:rsidR="00394A30" w:rsidRDefault="00000000">
            <w:r>
              <w:t>Jednotné uživatelské prostředí a jednotná instalace DICOM prohlížeče i PACS archivu.</w:t>
            </w:r>
          </w:p>
        </w:tc>
        <w:tc>
          <w:tcPr>
            <w:tcW w:w="1701" w:type="dxa"/>
            <w:vAlign w:val="center"/>
          </w:tcPr>
          <w:p w14:paraId="50500553" w14:textId="77777777" w:rsidR="00394A30" w:rsidRDefault="00394A30">
            <w:pPr>
              <w:jc w:val="center"/>
            </w:pPr>
          </w:p>
        </w:tc>
      </w:tr>
      <w:tr w:rsidR="00394A30" w14:paraId="2E870474" w14:textId="77777777">
        <w:tc>
          <w:tcPr>
            <w:tcW w:w="7366" w:type="dxa"/>
            <w:shd w:val="clear" w:color="auto" w:fill="FFFFFF"/>
          </w:tcPr>
          <w:p w14:paraId="131EE40B" w14:textId="77777777" w:rsidR="00394A30" w:rsidRDefault="00000000">
            <w:r>
              <w:t>Počet licencí:</w:t>
            </w:r>
          </w:p>
          <w:p w14:paraId="231F24DB" w14:textId="77777777" w:rsidR="00394A30" w:rsidRDefault="00000000">
            <w:pPr>
              <w:numPr>
                <w:ilvl w:val="0"/>
                <w:numId w:val="4"/>
              </w:numPr>
              <w:pBdr>
                <w:top w:val="nil"/>
                <w:left w:val="nil"/>
                <w:bottom w:val="nil"/>
                <w:right w:val="nil"/>
                <w:between w:val="nil"/>
              </w:pBdr>
              <w:spacing w:after="160" w:line="259" w:lineRule="auto"/>
            </w:pPr>
            <w:r>
              <w:t>2</w:t>
            </w:r>
            <w:r>
              <w:rPr>
                <w:color w:val="000000"/>
              </w:rPr>
              <w:t xml:space="preserve"> konkurenční licence diagnostické verze DICOM prohlížeče.</w:t>
            </w:r>
          </w:p>
        </w:tc>
        <w:tc>
          <w:tcPr>
            <w:tcW w:w="1701" w:type="dxa"/>
            <w:vAlign w:val="center"/>
          </w:tcPr>
          <w:p w14:paraId="7CD5BB7F" w14:textId="77777777" w:rsidR="00394A30" w:rsidRDefault="00394A30">
            <w:pPr>
              <w:jc w:val="center"/>
            </w:pPr>
          </w:p>
        </w:tc>
      </w:tr>
      <w:tr w:rsidR="00394A30" w14:paraId="3E78AF91" w14:textId="77777777">
        <w:tc>
          <w:tcPr>
            <w:tcW w:w="7366" w:type="dxa"/>
          </w:tcPr>
          <w:p w14:paraId="0CC29FCC" w14:textId="77777777" w:rsidR="00394A30" w:rsidRDefault="00000000">
            <w:r>
              <w:t xml:space="preserve">Provoz klientské části nezávisle na operačním systému pracovní stanice pouze v prostředí standardního webového prohlížeče/browseru bez nutnosti instalace dalšího SW (aplikací, modulů, appletů či knihoven), tedy bez použití např. ORACLE Java, Microsoft .NET </w:t>
            </w:r>
            <w:proofErr w:type="spellStart"/>
            <w:r>
              <w:t>FrameWork</w:t>
            </w:r>
            <w:proofErr w:type="spellEnd"/>
            <w:r>
              <w:t xml:space="preserve">, Adobe </w:t>
            </w:r>
            <w:proofErr w:type="spellStart"/>
            <w:r>
              <w:t>Flash</w:t>
            </w:r>
            <w:proofErr w:type="spellEnd"/>
            <w:r>
              <w:t xml:space="preserve"> apod.</w:t>
            </w:r>
          </w:p>
        </w:tc>
        <w:tc>
          <w:tcPr>
            <w:tcW w:w="1701" w:type="dxa"/>
            <w:vAlign w:val="center"/>
          </w:tcPr>
          <w:p w14:paraId="21791DCB" w14:textId="77777777" w:rsidR="00394A30" w:rsidRDefault="00394A30">
            <w:pPr>
              <w:jc w:val="center"/>
            </w:pPr>
          </w:p>
        </w:tc>
      </w:tr>
      <w:tr w:rsidR="00394A30" w14:paraId="6826C095" w14:textId="77777777">
        <w:tc>
          <w:tcPr>
            <w:tcW w:w="7366" w:type="dxa"/>
          </w:tcPr>
          <w:p w14:paraId="36F417B5" w14:textId="77777777" w:rsidR="00394A30" w:rsidRDefault="00000000">
            <w:r>
              <w:t xml:space="preserve">Ověřená kompatibilita s nejrozšířenějšími webovými prohlížeči/browsery – minimálně s Google Chrome, Mozilla Firefox, Microsoft </w:t>
            </w:r>
            <w:proofErr w:type="spellStart"/>
            <w:r>
              <w:t>Edge</w:t>
            </w:r>
            <w:proofErr w:type="spellEnd"/>
            <w:r>
              <w:t>.</w:t>
            </w:r>
          </w:p>
        </w:tc>
        <w:tc>
          <w:tcPr>
            <w:tcW w:w="1701" w:type="dxa"/>
            <w:vAlign w:val="center"/>
          </w:tcPr>
          <w:p w14:paraId="4D3E3FEA" w14:textId="77777777" w:rsidR="00394A30" w:rsidRDefault="00394A30">
            <w:pPr>
              <w:jc w:val="center"/>
            </w:pPr>
          </w:p>
        </w:tc>
      </w:tr>
      <w:tr w:rsidR="00394A30" w14:paraId="3DD854F3" w14:textId="77777777">
        <w:tc>
          <w:tcPr>
            <w:tcW w:w="7366" w:type="dxa"/>
          </w:tcPr>
          <w:p w14:paraId="31B70665" w14:textId="77777777" w:rsidR="00394A30" w:rsidRDefault="00000000">
            <w:r>
              <w:t xml:space="preserve">Podpora zobrazení na různých koncových zařízeních zařízení – PC, notebook, tablet, </w:t>
            </w:r>
            <w:proofErr w:type="spellStart"/>
            <w:r>
              <w:t>smart</w:t>
            </w:r>
            <w:proofErr w:type="spellEnd"/>
            <w:r>
              <w:t xml:space="preserve"> </w:t>
            </w:r>
            <w:proofErr w:type="spellStart"/>
            <w:r>
              <w:t>phone</w:t>
            </w:r>
            <w:proofErr w:type="spellEnd"/>
            <w:r>
              <w:t xml:space="preserve"> apod.</w:t>
            </w:r>
          </w:p>
        </w:tc>
        <w:tc>
          <w:tcPr>
            <w:tcW w:w="1701" w:type="dxa"/>
            <w:vAlign w:val="center"/>
          </w:tcPr>
          <w:p w14:paraId="557D2A9B" w14:textId="77777777" w:rsidR="00394A30" w:rsidRDefault="00394A30">
            <w:pPr>
              <w:jc w:val="center"/>
            </w:pPr>
          </w:p>
        </w:tc>
      </w:tr>
      <w:tr w:rsidR="00394A30" w14:paraId="2341971A" w14:textId="77777777">
        <w:tc>
          <w:tcPr>
            <w:tcW w:w="7366" w:type="dxa"/>
          </w:tcPr>
          <w:p w14:paraId="2F3FC38C" w14:textId="77777777" w:rsidR="00394A30" w:rsidRDefault="00000000">
            <w:r>
              <w:t>Serverová část SW musí být nativní 64-bit. aplikací (tedy že aplikace nelze provozovat na 32-bit. nebo starší platformě).</w:t>
            </w:r>
          </w:p>
        </w:tc>
        <w:tc>
          <w:tcPr>
            <w:tcW w:w="1701" w:type="dxa"/>
            <w:vAlign w:val="center"/>
          </w:tcPr>
          <w:p w14:paraId="3C3DA076" w14:textId="77777777" w:rsidR="00394A30" w:rsidRDefault="00394A30">
            <w:pPr>
              <w:jc w:val="center"/>
            </w:pPr>
          </w:p>
        </w:tc>
      </w:tr>
      <w:tr w:rsidR="00394A30" w14:paraId="54644F7C" w14:textId="77777777">
        <w:tc>
          <w:tcPr>
            <w:tcW w:w="7366" w:type="dxa"/>
          </w:tcPr>
          <w:p w14:paraId="264E77D2" w14:textId="77777777" w:rsidR="00394A30" w:rsidRDefault="00000000">
            <w:r>
              <w:t>Kompatibilita se standardem DICOM verze 3.0.</w:t>
            </w:r>
          </w:p>
        </w:tc>
        <w:tc>
          <w:tcPr>
            <w:tcW w:w="1701" w:type="dxa"/>
            <w:vAlign w:val="center"/>
          </w:tcPr>
          <w:p w14:paraId="2B576FAF" w14:textId="77777777" w:rsidR="00394A30" w:rsidRDefault="00394A30">
            <w:pPr>
              <w:jc w:val="center"/>
            </w:pPr>
          </w:p>
        </w:tc>
      </w:tr>
      <w:tr w:rsidR="00394A30" w14:paraId="5C4C2D9F" w14:textId="77777777">
        <w:tc>
          <w:tcPr>
            <w:tcW w:w="7366" w:type="dxa"/>
          </w:tcPr>
          <w:p w14:paraId="274A29C1" w14:textId="77777777" w:rsidR="00394A30" w:rsidRDefault="00000000">
            <w:r>
              <w:t xml:space="preserve">Podpora DICOM služeb: </w:t>
            </w:r>
            <w:proofErr w:type="spellStart"/>
            <w:r>
              <w:t>Query</w:t>
            </w:r>
            <w:proofErr w:type="spellEnd"/>
            <w:r>
              <w:t>/</w:t>
            </w:r>
            <w:proofErr w:type="spellStart"/>
            <w:r>
              <w:t>Retrieve</w:t>
            </w:r>
            <w:proofErr w:type="spellEnd"/>
            <w:r>
              <w:t xml:space="preserve">, </w:t>
            </w:r>
            <w:proofErr w:type="spellStart"/>
            <w:r>
              <w:t>Store</w:t>
            </w:r>
            <w:proofErr w:type="spellEnd"/>
            <w:r>
              <w:t>.</w:t>
            </w:r>
          </w:p>
        </w:tc>
        <w:tc>
          <w:tcPr>
            <w:tcW w:w="1701" w:type="dxa"/>
            <w:vAlign w:val="center"/>
          </w:tcPr>
          <w:p w14:paraId="6330A58E" w14:textId="77777777" w:rsidR="00394A30" w:rsidRDefault="00394A30">
            <w:pPr>
              <w:jc w:val="center"/>
            </w:pPr>
          </w:p>
        </w:tc>
      </w:tr>
      <w:tr w:rsidR="00394A30" w14:paraId="0B1B7956" w14:textId="77777777">
        <w:tc>
          <w:tcPr>
            <w:tcW w:w="7366" w:type="dxa"/>
          </w:tcPr>
          <w:p w14:paraId="717F2252" w14:textId="77777777" w:rsidR="00394A30" w:rsidRDefault="00000000">
            <w:r>
              <w:t>Podpora připojení neomezeného počtu různých zdrojů obrazových dat (např. možnost přímého odesílání obrazových dat z modalit do centrálního prohlížeče, napojení libovolného počtu DICOM archivů různých výrobců).</w:t>
            </w:r>
          </w:p>
        </w:tc>
        <w:tc>
          <w:tcPr>
            <w:tcW w:w="1701" w:type="dxa"/>
            <w:vAlign w:val="center"/>
          </w:tcPr>
          <w:p w14:paraId="3554A3C4" w14:textId="77777777" w:rsidR="00394A30" w:rsidRDefault="00394A30">
            <w:pPr>
              <w:jc w:val="center"/>
            </w:pPr>
          </w:p>
        </w:tc>
      </w:tr>
      <w:tr w:rsidR="00394A30" w14:paraId="7346DCF5" w14:textId="77777777">
        <w:tc>
          <w:tcPr>
            <w:tcW w:w="7366" w:type="dxa"/>
          </w:tcPr>
          <w:p w14:paraId="380A97A2" w14:textId="77777777" w:rsidR="00394A30" w:rsidRDefault="00000000">
            <w:r>
              <w:t xml:space="preserve">Možnost zabezpečeného přístupu přes síť Internet odkudkoliv i mimo areál </w:t>
            </w:r>
            <w:proofErr w:type="gramStart"/>
            <w:r>
              <w:t>nemocnice  -</w:t>
            </w:r>
            <w:proofErr w:type="gramEnd"/>
            <w:r>
              <w:t xml:space="preserve"> podpora HTTPS certifikátu, podpora autentizace pomocí </w:t>
            </w:r>
            <w:proofErr w:type="spellStart"/>
            <w:r>
              <w:t>Active</w:t>
            </w:r>
            <w:proofErr w:type="spellEnd"/>
            <w:r>
              <w:t xml:space="preserve"> </w:t>
            </w:r>
            <w:proofErr w:type="spellStart"/>
            <w:r>
              <w:t>Directory</w:t>
            </w:r>
            <w:proofErr w:type="spellEnd"/>
            <w:r>
              <w:t xml:space="preserve"> / LDAP s možností SSO, certifikátu, OAuth2 </w:t>
            </w:r>
            <w:proofErr w:type="spellStart"/>
            <w:r>
              <w:t>OpenID</w:t>
            </w:r>
            <w:proofErr w:type="spellEnd"/>
            <w:r>
              <w:t xml:space="preserve">, </w:t>
            </w:r>
            <w:proofErr w:type="spellStart"/>
            <w:r>
              <w:t>vícefaktorová</w:t>
            </w:r>
            <w:proofErr w:type="spellEnd"/>
            <w:r>
              <w:t xml:space="preserve"> autentizace (TOTP klíče).</w:t>
            </w:r>
          </w:p>
        </w:tc>
        <w:tc>
          <w:tcPr>
            <w:tcW w:w="1701" w:type="dxa"/>
            <w:vAlign w:val="center"/>
          </w:tcPr>
          <w:p w14:paraId="0967EEF5" w14:textId="77777777" w:rsidR="00394A30" w:rsidRDefault="00394A30">
            <w:pPr>
              <w:jc w:val="center"/>
            </w:pPr>
          </w:p>
        </w:tc>
      </w:tr>
      <w:tr w:rsidR="00394A30" w14:paraId="2450DC59" w14:textId="77777777">
        <w:tc>
          <w:tcPr>
            <w:tcW w:w="7366" w:type="dxa"/>
          </w:tcPr>
          <w:p w14:paraId="00978670" w14:textId="77777777" w:rsidR="00394A30" w:rsidRDefault="00000000">
            <w:r>
              <w:t>Centrální správa uživatelských účtů a nastavení jednotlivých uživatelských profilů nebo skupin. Funkce musí být dostupná prostřednictvím webového uživatelského rozhraní.</w:t>
            </w:r>
          </w:p>
        </w:tc>
        <w:tc>
          <w:tcPr>
            <w:tcW w:w="1701" w:type="dxa"/>
            <w:vAlign w:val="center"/>
          </w:tcPr>
          <w:p w14:paraId="500D2BA9" w14:textId="77777777" w:rsidR="00394A30" w:rsidRDefault="00394A30">
            <w:pPr>
              <w:jc w:val="center"/>
            </w:pPr>
          </w:p>
        </w:tc>
      </w:tr>
      <w:tr w:rsidR="00394A30" w14:paraId="7DF0BDA3" w14:textId="77777777">
        <w:tc>
          <w:tcPr>
            <w:tcW w:w="7366" w:type="dxa"/>
          </w:tcPr>
          <w:p w14:paraId="4D21FB21" w14:textId="77777777" w:rsidR="00394A30" w:rsidRDefault="00000000">
            <w:r>
              <w:t>Prohlížeč musí umožňovat řízení oprávnění na úrovni role a pracoviště uživatele.</w:t>
            </w:r>
          </w:p>
        </w:tc>
        <w:tc>
          <w:tcPr>
            <w:tcW w:w="1701" w:type="dxa"/>
            <w:vAlign w:val="center"/>
          </w:tcPr>
          <w:p w14:paraId="2BABEEB1" w14:textId="77777777" w:rsidR="00394A30" w:rsidRDefault="00394A30">
            <w:pPr>
              <w:jc w:val="center"/>
            </w:pPr>
          </w:p>
        </w:tc>
      </w:tr>
      <w:tr w:rsidR="00394A30" w14:paraId="662B767E" w14:textId="77777777">
        <w:tc>
          <w:tcPr>
            <w:tcW w:w="7366" w:type="dxa"/>
          </w:tcPr>
          <w:p w14:paraId="17A7FF0B" w14:textId="77777777" w:rsidR="00394A30" w:rsidRDefault="00000000">
            <w:r>
              <w:t>Napojení na stávající NIS minimálně v rozsahu:</w:t>
            </w:r>
          </w:p>
          <w:p w14:paraId="22F000F8" w14:textId="77777777" w:rsidR="00394A30" w:rsidRDefault="00000000">
            <w:pPr>
              <w:numPr>
                <w:ilvl w:val="0"/>
                <w:numId w:val="2"/>
              </w:numPr>
              <w:pBdr>
                <w:top w:val="nil"/>
                <w:left w:val="nil"/>
                <w:bottom w:val="nil"/>
                <w:right w:val="nil"/>
                <w:between w:val="nil"/>
              </w:pBdr>
              <w:spacing w:line="259" w:lineRule="auto"/>
            </w:pPr>
            <w:r>
              <w:rPr>
                <w:color w:val="000000"/>
              </w:rPr>
              <w:t xml:space="preserve">spuštění prohlížeče z prostředí NIS pomocí šifrovaného URL odkazu s parametrem </w:t>
            </w:r>
            <w:proofErr w:type="spellStart"/>
            <w:r>
              <w:rPr>
                <w:color w:val="000000"/>
              </w:rPr>
              <w:t>Accession</w:t>
            </w:r>
            <w:proofErr w:type="spellEnd"/>
            <w:r>
              <w:rPr>
                <w:color w:val="000000"/>
              </w:rPr>
              <w:t xml:space="preserve"> </w:t>
            </w:r>
            <w:proofErr w:type="spellStart"/>
            <w:r>
              <w:rPr>
                <w:color w:val="000000"/>
              </w:rPr>
              <w:t>Number</w:t>
            </w:r>
            <w:proofErr w:type="spellEnd"/>
            <w:r>
              <w:rPr>
                <w:color w:val="000000"/>
              </w:rPr>
              <w:t xml:space="preserve">, případně podle dalších parametrů (např. ID pacienta), tak aby zobrazil vyšetření příslušející k dané žádance. </w:t>
            </w:r>
          </w:p>
          <w:p w14:paraId="6C61F7DE" w14:textId="77777777" w:rsidR="00394A30" w:rsidRDefault="00000000">
            <w:pPr>
              <w:numPr>
                <w:ilvl w:val="0"/>
                <w:numId w:val="2"/>
              </w:numPr>
              <w:pBdr>
                <w:top w:val="nil"/>
                <w:left w:val="nil"/>
                <w:bottom w:val="nil"/>
                <w:right w:val="nil"/>
                <w:between w:val="nil"/>
              </w:pBdr>
              <w:spacing w:line="259" w:lineRule="auto"/>
            </w:pPr>
            <w:r>
              <w:rPr>
                <w:color w:val="000000"/>
              </w:rPr>
              <w:t xml:space="preserve">zobrazení textového popisu vyšetření v prostředí prohlížeče, </w:t>
            </w:r>
          </w:p>
          <w:p w14:paraId="056EEE52" w14:textId="77777777" w:rsidR="00394A30" w:rsidRDefault="00000000">
            <w:pPr>
              <w:numPr>
                <w:ilvl w:val="0"/>
                <w:numId w:val="2"/>
              </w:numPr>
              <w:pBdr>
                <w:top w:val="nil"/>
                <w:left w:val="nil"/>
                <w:bottom w:val="nil"/>
                <w:right w:val="nil"/>
                <w:between w:val="nil"/>
              </w:pBdr>
              <w:spacing w:after="160" w:line="259" w:lineRule="auto"/>
            </w:pPr>
            <w:r>
              <w:rPr>
                <w:color w:val="000000"/>
              </w:rPr>
              <w:t>součinnost dodavatele NIS zajistí Zadavatel.</w:t>
            </w:r>
          </w:p>
        </w:tc>
        <w:tc>
          <w:tcPr>
            <w:tcW w:w="1701" w:type="dxa"/>
            <w:vAlign w:val="center"/>
          </w:tcPr>
          <w:p w14:paraId="0BB97E35" w14:textId="77777777" w:rsidR="00394A30" w:rsidRDefault="00394A30">
            <w:pPr>
              <w:jc w:val="center"/>
            </w:pPr>
          </w:p>
        </w:tc>
      </w:tr>
      <w:tr w:rsidR="00394A30" w14:paraId="02569917" w14:textId="77777777">
        <w:tc>
          <w:tcPr>
            <w:tcW w:w="7366" w:type="dxa"/>
          </w:tcPr>
          <w:p w14:paraId="2C6DA54E" w14:textId="77777777" w:rsidR="00394A30" w:rsidRDefault="00000000">
            <w:r>
              <w:t>Prohlížeč musí umožňovat zpětné dohledání přístupu konkrétního uživatele k dané obrazové dokumentaci nebo pacientským datům po celou dobu životního cyklu řešení, tato funkcionalita musí být zákaznicky dostupná prostřednictvím přehledného webového uživatelského rozhraní.</w:t>
            </w:r>
          </w:p>
        </w:tc>
        <w:tc>
          <w:tcPr>
            <w:tcW w:w="1701" w:type="dxa"/>
            <w:vAlign w:val="center"/>
          </w:tcPr>
          <w:p w14:paraId="056B5989" w14:textId="77777777" w:rsidR="00394A30" w:rsidRDefault="00394A30">
            <w:pPr>
              <w:jc w:val="center"/>
            </w:pPr>
          </w:p>
        </w:tc>
      </w:tr>
      <w:tr w:rsidR="00394A30" w14:paraId="5FA953C2" w14:textId="77777777">
        <w:tc>
          <w:tcPr>
            <w:tcW w:w="7366" w:type="dxa"/>
          </w:tcPr>
          <w:p w14:paraId="4F3BC34C" w14:textId="77777777" w:rsidR="00394A30" w:rsidRDefault="00000000">
            <w:r>
              <w:t>Podpora více monitorů, včetně uživatelského nastavení podpory pro barevné a černobílé monitory.</w:t>
            </w:r>
          </w:p>
        </w:tc>
        <w:tc>
          <w:tcPr>
            <w:tcW w:w="1701" w:type="dxa"/>
            <w:vAlign w:val="center"/>
          </w:tcPr>
          <w:p w14:paraId="42C02070" w14:textId="77777777" w:rsidR="00394A30" w:rsidRDefault="00394A30">
            <w:pPr>
              <w:jc w:val="center"/>
            </w:pPr>
          </w:p>
        </w:tc>
      </w:tr>
      <w:tr w:rsidR="00394A30" w14:paraId="104A0EF4" w14:textId="77777777">
        <w:tc>
          <w:tcPr>
            <w:tcW w:w="7366" w:type="dxa"/>
          </w:tcPr>
          <w:p w14:paraId="7DFF28F7" w14:textId="77777777" w:rsidR="00394A30" w:rsidRDefault="00000000">
            <w:r>
              <w:t>Možnost stranové volby zobrazení seznamu sérií vyšetření (platí pro každý připojený monitor).</w:t>
            </w:r>
          </w:p>
        </w:tc>
        <w:tc>
          <w:tcPr>
            <w:tcW w:w="1701" w:type="dxa"/>
            <w:vAlign w:val="center"/>
          </w:tcPr>
          <w:p w14:paraId="40D396B9" w14:textId="77777777" w:rsidR="00394A30" w:rsidRDefault="00394A30">
            <w:pPr>
              <w:jc w:val="center"/>
            </w:pPr>
          </w:p>
        </w:tc>
      </w:tr>
      <w:tr w:rsidR="00394A30" w14:paraId="0E779672" w14:textId="77777777">
        <w:tc>
          <w:tcPr>
            <w:tcW w:w="7366" w:type="dxa"/>
          </w:tcPr>
          <w:p w14:paraId="042C4EA8" w14:textId="77777777" w:rsidR="00394A30" w:rsidRDefault="00000000">
            <w:r>
              <w:lastRenderedPageBreak/>
              <w:t xml:space="preserve">Vyhledávání musí být možné min. podle následujících parametrů: </w:t>
            </w:r>
          </w:p>
          <w:p w14:paraId="32D2365C" w14:textId="77777777" w:rsidR="00394A30" w:rsidRDefault="00000000">
            <w:pPr>
              <w:numPr>
                <w:ilvl w:val="0"/>
                <w:numId w:val="2"/>
              </w:numPr>
              <w:pBdr>
                <w:top w:val="nil"/>
                <w:left w:val="nil"/>
                <w:bottom w:val="nil"/>
                <w:right w:val="nil"/>
                <w:between w:val="nil"/>
              </w:pBdr>
              <w:spacing w:line="259" w:lineRule="auto"/>
            </w:pPr>
            <w:r>
              <w:rPr>
                <w:color w:val="000000"/>
              </w:rPr>
              <w:t>jméno pacienta,</w:t>
            </w:r>
          </w:p>
          <w:p w14:paraId="457C2B28" w14:textId="77777777" w:rsidR="00394A30" w:rsidRDefault="00000000">
            <w:pPr>
              <w:numPr>
                <w:ilvl w:val="0"/>
                <w:numId w:val="2"/>
              </w:numPr>
              <w:pBdr>
                <w:top w:val="nil"/>
                <w:left w:val="nil"/>
                <w:bottom w:val="nil"/>
                <w:right w:val="nil"/>
                <w:between w:val="nil"/>
              </w:pBdr>
              <w:spacing w:line="259" w:lineRule="auto"/>
            </w:pPr>
            <w:r>
              <w:rPr>
                <w:color w:val="000000"/>
              </w:rPr>
              <w:t>ID pacienta,</w:t>
            </w:r>
          </w:p>
          <w:p w14:paraId="47907F2A" w14:textId="77777777" w:rsidR="00394A30" w:rsidRDefault="00000000">
            <w:pPr>
              <w:numPr>
                <w:ilvl w:val="0"/>
                <w:numId w:val="2"/>
              </w:numPr>
              <w:pBdr>
                <w:top w:val="nil"/>
                <w:left w:val="nil"/>
                <w:bottom w:val="nil"/>
                <w:right w:val="nil"/>
                <w:between w:val="nil"/>
              </w:pBdr>
              <w:spacing w:line="259" w:lineRule="auto"/>
            </w:pPr>
            <w:r>
              <w:rPr>
                <w:color w:val="000000"/>
              </w:rPr>
              <w:t xml:space="preserve">pohlaví, </w:t>
            </w:r>
          </w:p>
          <w:p w14:paraId="0D6B3BBD" w14:textId="77777777" w:rsidR="00394A30" w:rsidRDefault="00000000">
            <w:pPr>
              <w:numPr>
                <w:ilvl w:val="0"/>
                <w:numId w:val="2"/>
              </w:numPr>
              <w:pBdr>
                <w:top w:val="nil"/>
                <w:left w:val="nil"/>
                <w:bottom w:val="nil"/>
                <w:right w:val="nil"/>
                <w:between w:val="nil"/>
              </w:pBdr>
              <w:spacing w:line="259" w:lineRule="auto"/>
            </w:pPr>
            <w:r>
              <w:rPr>
                <w:color w:val="000000"/>
              </w:rPr>
              <w:t>číslo žádanky,</w:t>
            </w:r>
          </w:p>
          <w:p w14:paraId="65DF6E17" w14:textId="77777777" w:rsidR="00394A30" w:rsidRDefault="00000000">
            <w:pPr>
              <w:numPr>
                <w:ilvl w:val="0"/>
                <w:numId w:val="2"/>
              </w:numPr>
              <w:pBdr>
                <w:top w:val="nil"/>
                <w:left w:val="nil"/>
                <w:bottom w:val="nil"/>
                <w:right w:val="nil"/>
                <w:between w:val="nil"/>
              </w:pBdr>
              <w:spacing w:line="259" w:lineRule="auto"/>
            </w:pPr>
            <w:r>
              <w:rPr>
                <w:color w:val="000000"/>
              </w:rPr>
              <w:t>typ modality (výběr z číselníku),</w:t>
            </w:r>
          </w:p>
          <w:p w14:paraId="478F5D8B" w14:textId="77777777" w:rsidR="00394A30" w:rsidRDefault="00000000">
            <w:pPr>
              <w:numPr>
                <w:ilvl w:val="0"/>
                <w:numId w:val="2"/>
              </w:numPr>
              <w:pBdr>
                <w:top w:val="nil"/>
                <w:left w:val="nil"/>
                <w:bottom w:val="nil"/>
                <w:right w:val="nil"/>
                <w:between w:val="nil"/>
              </w:pBdr>
              <w:spacing w:line="259" w:lineRule="auto"/>
            </w:pPr>
            <w:r>
              <w:rPr>
                <w:color w:val="000000"/>
              </w:rPr>
              <w:t>rodné číslo či jiný definovaný identifikátor,</w:t>
            </w:r>
          </w:p>
          <w:p w14:paraId="62047AA1" w14:textId="77777777" w:rsidR="00394A30" w:rsidRDefault="00000000">
            <w:pPr>
              <w:numPr>
                <w:ilvl w:val="0"/>
                <w:numId w:val="2"/>
              </w:numPr>
              <w:pBdr>
                <w:top w:val="nil"/>
                <w:left w:val="nil"/>
                <w:bottom w:val="nil"/>
                <w:right w:val="nil"/>
                <w:between w:val="nil"/>
              </w:pBdr>
              <w:spacing w:line="259" w:lineRule="auto"/>
            </w:pPr>
            <w:r>
              <w:rPr>
                <w:color w:val="000000"/>
              </w:rPr>
              <w:t>datum narození,</w:t>
            </w:r>
          </w:p>
          <w:p w14:paraId="60E16A39" w14:textId="77777777" w:rsidR="00394A30" w:rsidRDefault="00000000">
            <w:pPr>
              <w:numPr>
                <w:ilvl w:val="0"/>
                <w:numId w:val="2"/>
              </w:numPr>
              <w:pBdr>
                <w:top w:val="nil"/>
                <w:left w:val="nil"/>
                <w:bottom w:val="nil"/>
                <w:right w:val="nil"/>
                <w:between w:val="nil"/>
              </w:pBdr>
              <w:spacing w:line="259" w:lineRule="auto"/>
            </w:pPr>
            <w:r>
              <w:rPr>
                <w:color w:val="000000"/>
              </w:rPr>
              <w:t>od/do data vytvoření vyšetření,</w:t>
            </w:r>
          </w:p>
          <w:p w14:paraId="42B4F096" w14:textId="77777777" w:rsidR="00394A30" w:rsidRDefault="00000000">
            <w:pPr>
              <w:numPr>
                <w:ilvl w:val="0"/>
                <w:numId w:val="2"/>
              </w:numPr>
              <w:pBdr>
                <w:top w:val="nil"/>
                <w:left w:val="nil"/>
                <w:bottom w:val="nil"/>
                <w:right w:val="nil"/>
                <w:between w:val="nil"/>
              </w:pBdr>
              <w:spacing w:line="259" w:lineRule="auto"/>
            </w:pPr>
            <w:r>
              <w:rPr>
                <w:color w:val="000000"/>
              </w:rPr>
              <w:t xml:space="preserve">popis vyšetření, </w:t>
            </w:r>
          </w:p>
          <w:p w14:paraId="327E8934" w14:textId="77777777" w:rsidR="00394A30" w:rsidRDefault="00000000">
            <w:pPr>
              <w:numPr>
                <w:ilvl w:val="0"/>
                <w:numId w:val="2"/>
              </w:numPr>
              <w:pBdr>
                <w:top w:val="nil"/>
                <w:left w:val="nil"/>
                <w:bottom w:val="nil"/>
                <w:right w:val="nil"/>
                <w:between w:val="nil"/>
              </w:pBdr>
              <w:spacing w:line="259" w:lineRule="auto"/>
            </w:pPr>
            <w:r>
              <w:rPr>
                <w:color w:val="000000"/>
              </w:rPr>
              <w:t>vyšetřující lékař,</w:t>
            </w:r>
          </w:p>
          <w:p w14:paraId="3B625A25" w14:textId="77777777" w:rsidR="00394A30" w:rsidRDefault="00000000">
            <w:pPr>
              <w:numPr>
                <w:ilvl w:val="0"/>
                <w:numId w:val="2"/>
              </w:numPr>
              <w:pBdr>
                <w:top w:val="nil"/>
                <w:left w:val="nil"/>
                <w:bottom w:val="nil"/>
                <w:right w:val="nil"/>
                <w:between w:val="nil"/>
              </w:pBdr>
              <w:spacing w:after="160" w:line="259" w:lineRule="auto"/>
            </w:pPr>
            <w:r>
              <w:rPr>
                <w:color w:val="000000"/>
              </w:rPr>
              <w:t>zdroj dat (Archiv).</w:t>
            </w:r>
          </w:p>
        </w:tc>
        <w:tc>
          <w:tcPr>
            <w:tcW w:w="1701" w:type="dxa"/>
            <w:vAlign w:val="center"/>
          </w:tcPr>
          <w:p w14:paraId="47291781" w14:textId="77777777" w:rsidR="00394A30" w:rsidRDefault="00394A30">
            <w:pPr>
              <w:jc w:val="center"/>
            </w:pPr>
          </w:p>
        </w:tc>
      </w:tr>
      <w:tr w:rsidR="00394A30" w14:paraId="2220CE97" w14:textId="77777777">
        <w:tc>
          <w:tcPr>
            <w:tcW w:w="7366" w:type="dxa"/>
          </w:tcPr>
          <w:p w14:paraId="1CD33A14" w14:textId="77777777" w:rsidR="00394A30" w:rsidRDefault="00000000">
            <w:r>
              <w:t>Možnost zapnutí automatické aktualizace seznamu vyhledaných vyšetření.</w:t>
            </w:r>
          </w:p>
        </w:tc>
        <w:tc>
          <w:tcPr>
            <w:tcW w:w="1701" w:type="dxa"/>
            <w:vAlign w:val="center"/>
          </w:tcPr>
          <w:p w14:paraId="6E67E09D" w14:textId="77777777" w:rsidR="00394A30" w:rsidRDefault="00394A30">
            <w:pPr>
              <w:jc w:val="center"/>
            </w:pPr>
          </w:p>
        </w:tc>
      </w:tr>
      <w:tr w:rsidR="00394A30" w14:paraId="483A28DD" w14:textId="77777777">
        <w:tc>
          <w:tcPr>
            <w:tcW w:w="7366" w:type="dxa"/>
          </w:tcPr>
          <w:p w14:paraId="5FA22B87" w14:textId="77777777" w:rsidR="00394A30" w:rsidRDefault="00000000">
            <w:r>
              <w:t>Možnost uložení vyplněných vyhledávacích parametrů do seznamu “oblíbených“ filtrů a reportů uživatele včetně nastavení automatické aktivace zvoleného filtru po přihlášení uživatele.</w:t>
            </w:r>
          </w:p>
        </w:tc>
        <w:tc>
          <w:tcPr>
            <w:tcW w:w="1701" w:type="dxa"/>
            <w:vAlign w:val="center"/>
          </w:tcPr>
          <w:p w14:paraId="6B6CCE7B" w14:textId="77777777" w:rsidR="00394A30" w:rsidRDefault="00394A30">
            <w:pPr>
              <w:jc w:val="center"/>
            </w:pPr>
          </w:p>
        </w:tc>
      </w:tr>
      <w:tr w:rsidR="00394A30" w14:paraId="4D042A17" w14:textId="77777777">
        <w:tc>
          <w:tcPr>
            <w:tcW w:w="7366" w:type="dxa"/>
          </w:tcPr>
          <w:p w14:paraId="7A3E7A94" w14:textId="77777777" w:rsidR="00394A30" w:rsidRDefault="00000000">
            <w:r>
              <w:t>Zobrazení náhledů na série nebo snímky v seznamu vyšetření.</w:t>
            </w:r>
          </w:p>
        </w:tc>
        <w:tc>
          <w:tcPr>
            <w:tcW w:w="1701" w:type="dxa"/>
            <w:vAlign w:val="center"/>
          </w:tcPr>
          <w:p w14:paraId="49F166DE" w14:textId="77777777" w:rsidR="00394A30" w:rsidRDefault="00394A30">
            <w:pPr>
              <w:jc w:val="center"/>
            </w:pPr>
          </w:p>
        </w:tc>
      </w:tr>
      <w:tr w:rsidR="00394A30" w14:paraId="3780BB8E" w14:textId="77777777">
        <w:tc>
          <w:tcPr>
            <w:tcW w:w="7366" w:type="dxa"/>
          </w:tcPr>
          <w:p w14:paraId="33CF8D39" w14:textId="77777777" w:rsidR="00394A30" w:rsidRDefault="00000000">
            <w:r>
              <w:t>Uživatelsky nastavitelné sloupce seznamu vyšetření (parametr, pořadí, šířka).</w:t>
            </w:r>
          </w:p>
        </w:tc>
        <w:tc>
          <w:tcPr>
            <w:tcW w:w="1701" w:type="dxa"/>
            <w:vAlign w:val="center"/>
          </w:tcPr>
          <w:p w14:paraId="3C698785" w14:textId="77777777" w:rsidR="00394A30" w:rsidRDefault="00394A30">
            <w:pPr>
              <w:jc w:val="center"/>
            </w:pPr>
          </w:p>
        </w:tc>
      </w:tr>
      <w:tr w:rsidR="00394A30" w14:paraId="6437B67F" w14:textId="77777777">
        <w:tc>
          <w:tcPr>
            <w:tcW w:w="7366" w:type="dxa"/>
          </w:tcPr>
          <w:p w14:paraId="60A7FFF0" w14:textId="77777777" w:rsidR="00394A30" w:rsidRDefault="00000000">
            <w:r>
              <w:t>Tvorba složek a pracovních seznamů s podporou těchto funkcionalit:</w:t>
            </w:r>
          </w:p>
          <w:p w14:paraId="281293B9" w14:textId="77777777" w:rsidR="00394A30" w:rsidRDefault="00000000">
            <w:pPr>
              <w:numPr>
                <w:ilvl w:val="0"/>
                <w:numId w:val="2"/>
              </w:numPr>
              <w:pBdr>
                <w:top w:val="nil"/>
                <w:left w:val="nil"/>
                <w:bottom w:val="nil"/>
                <w:right w:val="nil"/>
                <w:between w:val="nil"/>
              </w:pBdr>
              <w:spacing w:line="259" w:lineRule="auto"/>
            </w:pPr>
            <w:r>
              <w:rPr>
                <w:color w:val="000000"/>
              </w:rPr>
              <w:t xml:space="preserve">vytváření nových seznamů/složek, nastavení přístupových práv dle jednotlivých uživatelů nebo skupin uživatelů, např. pro účely indikačních komisí, </w:t>
            </w:r>
            <w:r>
              <w:t>konzilií</w:t>
            </w:r>
            <w:r>
              <w:rPr>
                <w:color w:val="000000"/>
              </w:rPr>
              <w:t>, vizit apod.,</w:t>
            </w:r>
          </w:p>
          <w:p w14:paraId="6BB9EB82" w14:textId="77777777" w:rsidR="00394A30" w:rsidRDefault="00000000">
            <w:pPr>
              <w:numPr>
                <w:ilvl w:val="0"/>
                <w:numId w:val="2"/>
              </w:numPr>
              <w:pBdr>
                <w:top w:val="nil"/>
                <w:left w:val="nil"/>
                <w:bottom w:val="nil"/>
                <w:right w:val="nil"/>
                <w:between w:val="nil"/>
              </w:pBdr>
              <w:spacing w:line="259" w:lineRule="auto"/>
            </w:pPr>
            <w:r>
              <w:rPr>
                <w:color w:val="000000"/>
              </w:rPr>
              <w:t>možnost uživatelem přiřazovat vyšetření do složek a pracovních seznamů, ke kterým má zajištěn přístup,</w:t>
            </w:r>
          </w:p>
          <w:p w14:paraId="568CC91F" w14:textId="77777777" w:rsidR="00394A30" w:rsidRDefault="00000000">
            <w:pPr>
              <w:numPr>
                <w:ilvl w:val="0"/>
                <w:numId w:val="2"/>
              </w:numPr>
              <w:pBdr>
                <w:top w:val="nil"/>
                <w:left w:val="nil"/>
                <w:bottom w:val="nil"/>
                <w:right w:val="nil"/>
                <w:between w:val="nil"/>
              </w:pBdr>
              <w:spacing w:after="160" w:line="259" w:lineRule="auto"/>
            </w:pPr>
            <w:r>
              <w:rPr>
                <w:color w:val="000000"/>
              </w:rPr>
              <w:t>možnost nastavení oprávnění uživatele k dané složce nebo pracovnímu seznamu min. v rozsahu: sdílení dalším uživatelům, přidávání vyšetření, přidávání komentářů, mazání vyšetření.</w:t>
            </w:r>
          </w:p>
        </w:tc>
        <w:tc>
          <w:tcPr>
            <w:tcW w:w="1701" w:type="dxa"/>
            <w:vAlign w:val="center"/>
          </w:tcPr>
          <w:p w14:paraId="720C7D81" w14:textId="77777777" w:rsidR="00394A30" w:rsidRDefault="00394A30">
            <w:pPr>
              <w:jc w:val="center"/>
            </w:pPr>
          </w:p>
        </w:tc>
      </w:tr>
      <w:tr w:rsidR="00394A30" w14:paraId="5B35693C" w14:textId="77777777">
        <w:tc>
          <w:tcPr>
            <w:tcW w:w="7366" w:type="dxa"/>
          </w:tcPr>
          <w:p w14:paraId="4861110F" w14:textId="77777777" w:rsidR="00394A30" w:rsidRDefault="00000000">
            <w:r>
              <w:t>Možnost zobrazení pouze konkrétní série vyšetření v prohlížeči.</w:t>
            </w:r>
          </w:p>
        </w:tc>
        <w:tc>
          <w:tcPr>
            <w:tcW w:w="1701" w:type="dxa"/>
            <w:vAlign w:val="center"/>
          </w:tcPr>
          <w:p w14:paraId="4ED84E01" w14:textId="77777777" w:rsidR="00394A30" w:rsidRDefault="00394A30">
            <w:pPr>
              <w:jc w:val="center"/>
            </w:pPr>
          </w:p>
        </w:tc>
      </w:tr>
      <w:tr w:rsidR="00394A30" w14:paraId="0C241E1F" w14:textId="77777777">
        <w:tc>
          <w:tcPr>
            <w:tcW w:w="7366" w:type="dxa"/>
          </w:tcPr>
          <w:p w14:paraId="2B12F9B7" w14:textId="77777777" w:rsidR="00394A30" w:rsidRDefault="00000000">
            <w:r>
              <w:t>Funkce pro zobrazení všech vyšetření pacienta ze všech připojených zdrojů dat na časové ose nebo formou seznamu vyšetření, vč. možnosti filtrace a řazení zobrazovaných vyšetření.</w:t>
            </w:r>
          </w:p>
        </w:tc>
        <w:tc>
          <w:tcPr>
            <w:tcW w:w="1701" w:type="dxa"/>
            <w:vAlign w:val="center"/>
          </w:tcPr>
          <w:p w14:paraId="1202AFEF" w14:textId="77777777" w:rsidR="00394A30" w:rsidRDefault="00394A30">
            <w:pPr>
              <w:jc w:val="center"/>
            </w:pPr>
          </w:p>
        </w:tc>
      </w:tr>
      <w:tr w:rsidR="00394A30" w14:paraId="41AD5A8E" w14:textId="77777777">
        <w:tc>
          <w:tcPr>
            <w:tcW w:w="7366" w:type="dxa"/>
          </w:tcPr>
          <w:p w14:paraId="60A44AE0" w14:textId="77777777" w:rsidR="00394A30" w:rsidRDefault="00000000">
            <w:r>
              <w:t>Možnost porovnání vyšetření různých pacientů (dávkové načtení a zobrazení více vyšetření různých pacientů najednou i přidání vyšetření jiného pacienta k aktuálně zobrazenému vyšetření).</w:t>
            </w:r>
          </w:p>
        </w:tc>
        <w:tc>
          <w:tcPr>
            <w:tcW w:w="1701" w:type="dxa"/>
            <w:vAlign w:val="center"/>
          </w:tcPr>
          <w:p w14:paraId="19D95562" w14:textId="77777777" w:rsidR="00394A30" w:rsidRDefault="00394A30">
            <w:pPr>
              <w:jc w:val="center"/>
            </w:pPr>
          </w:p>
        </w:tc>
      </w:tr>
      <w:tr w:rsidR="00394A30" w14:paraId="65A92CD2" w14:textId="77777777">
        <w:tc>
          <w:tcPr>
            <w:tcW w:w="7366" w:type="dxa"/>
          </w:tcPr>
          <w:p w14:paraId="3277DE24" w14:textId="77777777" w:rsidR="00394A30" w:rsidRDefault="00000000">
            <w:r>
              <w:t>Automatické dočítání otevřených nedokončených/rozpracovaných vyšetření, tzn. při zobrazení vyšetření, které ještě není dokončené, se budou automaticky dotahovat zbývající snímky na pozadí a pro jejich zobrazení nebude nutné znovu načtení vyšetření.</w:t>
            </w:r>
          </w:p>
        </w:tc>
        <w:tc>
          <w:tcPr>
            <w:tcW w:w="1701" w:type="dxa"/>
            <w:vAlign w:val="center"/>
          </w:tcPr>
          <w:p w14:paraId="3B91DBC7" w14:textId="77777777" w:rsidR="00394A30" w:rsidRDefault="00394A30">
            <w:pPr>
              <w:jc w:val="center"/>
            </w:pPr>
          </w:p>
        </w:tc>
      </w:tr>
      <w:tr w:rsidR="00394A30" w14:paraId="67C41C89" w14:textId="77777777">
        <w:tc>
          <w:tcPr>
            <w:tcW w:w="7366" w:type="dxa"/>
          </w:tcPr>
          <w:p w14:paraId="262951BA" w14:textId="77777777" w:rsidR="00394A30" w:rsidRDefault="00000000">
            <w:r>
              <w:t>Podpora zobrazení medicínských zpráv v jiných formátech (min. *.</w:t>
            </w:r>
            <w:proofErr w:type="spellStart"/>
            <w:r>
              <w:t>pdf</w:t>
            </w:r>
            <w:proofErr w:type="spellEnd"/>
            <w:r>
              <w:t>).</w:t>
            </w:r>
          </w:p>
        </w:tc>
        <w:tc>
          <w:tcPr>
            <w:tcW w:w="1701" w:type="dxa"/>
            <w:vAlign w:val="center"/>
          </w:tcPr>
          <w:p w14:paraId="1A311375" w14:textId="77777777" w:rsidR="00394A30" w:rsidRDefault="00394A30">
            <w:pPr>
              <w:jc w:val="center"/>
            </w:pPr>
          </w:p>
        </w:tc>
      </w:tr>
      <w:tr w:rsidR="00394A30" w14:paraId="15941111" w14:textId="77777777">
        <w:tc>
          <w:tcPr>
            <w:tcW w:w="7366" w:type="dxa"/>
          </w:tcPr>
          <w:p w14:paraId="698793FA" w14:textId="77777777" w:rsidR="00394A30" w:rsidRDefault="00000000">
            <w:r>
              <w:t>Podpora zobrazení DICOM SR (</w:t>
            </w:r>
            <w:proofErr w:type="spellStart"/>
            <w:r>
              <w:t>Structured</w:t>
            </w:r>
            <w:proofErr w:type="spellEnd"/>
            <w:r>
              <w:t xml:space="preserve"> Report).</w:t>
            </w:r>
          </w:p>
        </w:tc>
        <w:tc>
          <w:tcPr>
            <w:tcW w:w="1701" w:type="dxa"/>
            <w:vAlign w:val="center"/>
          </w:tcPr>
          <w:p w14:paraId="1144C05B" w14:textId="77777777" w:rsidR="00394A30" w:rsidRDefault="00394A30">
            <w:pPr>
              <w:jc w:val="center"/>
            </w:pPr>
          </w:p>
        </w:tc>
      </w:tr>
      <w:tr w:rsidR="00394A30" w14:paraId="01D4D57A" w14:textId="77777777">
        <w:tc>
          <w:tcPr>
            <w:tcW w:w="7366" w:type="dxa"/>
          </w:tcPr>
          <w:p w14:paraId="6C5F80E1" w14:textId="77777777" w:rsidR="00394A30" w:rsidRDefault="00000000">
            <w:r>
              <w:t>Podpora zobrazení MPEG-4 přímo v prostředí prohlížeče bez spouštění SW třetích stran, přehrávání smyček z ultrazvuku, angiografie, laparoskopie apod., nastavení rychlosti a směru přehrávání, možnost spuštění/zastavení přehrávání ve všech oknech.</w:t>
            </w:r>
          </w:p>
        </w:tc>
        <w:tc>
          <w:tcPr>
            <w:tcW w:w="1701" w:type="dxa"/>
            <w:vAlign w:val="center"/>
          </w:tcPr>
          <w:p w14:paraId="26E0316C" w14:textId="77777777" w:rsidR="00394A30" w:rsidRDefault="00394A30">
            <w:pPr>
              <w:jc w:val="center"/>
            </w:pPr>
          </w:p>
        </w:tc>
      </w:tr>
      <w:tr w:rsidR="00394A30" w14:paraId="61DAD75A" w14:textId="77777777">
        <w:tc>
          <w:tcPr>
            <w:tcW w:w="7366" w:type="dxa"/>
          </w:tcPr>
          <w:p w14:paraId="5D0E699B" w14:textId="77777777" w:rsidR="00394A30" w:rsidRDefault="00000000">
            <w:r>
              <w:t>Možnost uživatelského nastavení viditelnosti konkrétních DICOM tagů na obrazovce prohlížeče dle typu modality – musí být možné zobrazit libovolný DICOM tag, vč. možnost umístění popisků v závislosti na lateralitě snímku.</w:t>
            </w:r>
          </w:p>
        </w:tc>
        <w:tc>
          <w:tcPr>
            <w:tcW w:w="1701" w:type="dxa"/>
            <w:vAlign w:val="center"/>
          </w:tcPr>
          <w:p w14:paraId="0CF659AC" w14:textId="77777777" w:rsidR="00394A30" w:rsidRDefault="00394A30">
            <w:pPr>
              <w:jc w:val="center"/>
            </w:pPr>
          </w:p>
        </w:tc>
      </w:tr>
      <w:tr w:rsidR="00394A30" w14:paraId="3F488D1D" w14:textId="77777777">
        <w:tc>
          <w:tcPr>
            <w:tcW w:w="7366" w:type="dxa"/>
          </w:tcPr>
          <w:p w14:paraId="2384768E" w14:textId="77777777" w:rsidR="00394A30" w:rsidRDefault="00000000">
            <w:r>
              <w:lastRenderedPageBreak/>
              <w:t>Možnost rychlé volby pro zobrazení/skrytí DICOM atributů (volby pro skrytí údajů o pacientovi /vyšetření, orientace snímku, anotace).</w:t>
            </w:r>
          </w:p>
        </w:tc>
        <w:tc>
          <w:tcPr>
            <w:tcW w:w="1701" w:type="dxa"/>
            <w:vAlign w:val="center"/>
          </w:tcPr>
          <w:p w14:paraId="2BC4FDC7" w14:textId="77777777" w:rsidR="00394A30" w:rsidRDefault="00394A30">
            <w:pPr>
              <w:jc w:val="center"/>
            </w:pPr>
          </w:p>
        </w:tc>
      </w:tr>
      <w:tr w:rsidR="00394A30" w14:paraId="693B2F91" w14:textId="77777777">
        <w:tc>
          <w:tcPr>
            <w:tcW w:w="7366" w:type="dxa"/>
          </w:tcPr>
          <w:p w14:paraId="5D5A78DC" w14:textId="77777777" w:rsidR="00394A30" w:rsidRDefault="00000000">
            <w:r>
              <w:t>Export vyšetření/snímků ve formátu DICOM, MP4, JPG, PNG pro publikační a prezentační účely.</w:t>
            </w:r>
          </w:p>
        </w:tc>
        <w:tc>
          <w:tcPr>
            <w:tcW w:w="1701" w:type="dxa"/>
            <w:vAlign w:val="center"/>
          </w:tcPr>
          <w:p w14:paraId="72DB7C44" w14:textId="77777777" w:rsidR="00394A30" w:rsidRDefault="00394A30">
            <w:pPr>
              <w:jc w:val="center"/>
            </w:pPr>
          </w:p>
        </w:tc>
      </w:tr>
      <w:tr w:rsidR="00394A30" w14:paraId="625951EE" w14:textId="77777777">
        <w:tc>
          <w:tcPr>
            <w:tcW w:w="7366" w:type="dxa"/>
          </w:tcPr>
          <w:p w14:paraId="1E9CB90D" w14:textId="77777777" w:rsidR="00394A30" w:rsidRDefault="00000000">
            <w:r>
              <w:t>Vypalování dat na CD/DVD vč. prohlížeče.</w:t>
            </w:r>
          </w:p>
        </w:tc>
        <w:tc>
          <w:tcPr>
            <w:tcW w:w="1701" w:type="dxa"/>
            <w:vAlign w:val="center"/>
          </w:tcPr>
          <w:p w14:paraId="7D73E65C" w14:textId="77777777" w:rsidR="00394A30" w:rsidRDefault="00394A30">
            <w:pPr>
              <w:jc w:val="center"/>
            </w:pPr>
          </w:p>
        </w:tc>
      </w:tr>
      <w:tr w:rsidR="00394A30" w14:paraId="3ADF8C35" w14:textId="77777777">
        <w:tc>
          <w:tcPr>
            <w:tcW w:w="7366" w:type="dxa"/>
          </w:tcPr>
          <w:p w14:paraId="17A8F0B4" w14:textId="77777777" w:rsidR="00394A30" w:rsidRDefault="00000000">
            <w:r>
              <w:t>Podpora anonymizace dle DICOM standardu – automatická nebo manuální anonymizace vyšetření, vč. obrazové anonymizace pro snímky, které mají pac. údaje „vypálené“ ve snímku.</w:t>
            </w:r>
          </w:p>
        </w:tc>
        <w:tc>
          <w:tcPr>
            <w:tcW w:w="1701" w:type="dxa"/>
            <w:vAlign w:val="center"/>
          </w:tcPr>
          <w:p w14:paraId="4726E9AE" w14:textId="77777777" w:rsidR="00394A30" w:rsidRDefault="00394A30">
            <w:pPr>
              <w:jc w:val="center"/>
            </w:pPr>
          </w:p>
        </w:tc>
      </w:tr>
      <w:tr w:rsidR="00394A30" w14:paraId="221BCE0A" w14:textId="77777777">
        <w:tc>
          <w:tcPr>
            <w:tcW w:w="7366" w:type="dxa"/>
          </w:tcPr>
          <w:p w14:paraId="2D12987C" w14:textId="77777777" w:rsidR="00394A30" w:rsidRDefault="00000000">
            <w:r>
              <w:t xml:space="preserve">Možnost rozdělení obrazovky horizontálně i vertikálně pro zobrazení více snímků na jednom monitoru v rámci jednoho vyšetření a pro porovnání vícero vyšetření. U </w:t>
            </w:r>
            <w:proofErr w:type="spellStart"/>
            <w:r>
              <w:t>vícemonitorových</w:t>
            </w:r>
            <w:proofErr w:type="spellEnd"/>
            <w:r>
              <w:t xml:space="preserve"> stanic možnost rozvržení obrazovky na každém monitoru zvlášť i pro všechny monitory současně (jednotně).</w:t>
            </w:r>
          </w:p>
        </w:tc>
        <w:tc>
          <w:tcPr>
            <w:tcW w:w="1701" w:type="dxa"/>
            <w:vAlign w:val="center"/>
          </w:tcPr>
          <w:p w14:paraId="3D708E9C" w14:textId="77777777" w:rsidR="00394A30" w:rsidRDefault="00394A30">
            <w:pPr>
              <w:jc w:val="center"/>
            </w:pPr>
          </w:p>
        </w:tc>
      </w:tr>
      <w:tr w:rsidR="00394A30" w14:paraId="4EC14F78" w14:textId="77777777">
        <w:tc>
          <w:tcPr>
            <w:tcW w:w="7366" w:type="dxa"/>
          </w:tcPr>
          <w:p w14:paraId="1FBC2788" w14:textId="77777777" w:rsidR="00394A30" w:rsidRDefault="00000000">
            <w:r>
              <w:t>Grafické znázornění již otevřených vyšetření na úrovni uživatel/stanice/organizační jednotka.</w:t>
            </w:r>
          </w:p>
        </w:tc>
        <w:tc>
          <w:tcPr>
            <w:tcW w:w="1701" w:type="dxa"/>
            <w:vAlign w:val="center"/>
          </w:tcPr>
          <w:p w14:paraId="10455457" w14:textId="77777777" w:rsidR="00394A30" w:rsidRDefault="00394A30">
            <w:pPr>
              <w:jc w:val="center"/>
            </w:pPr>
          </w:p>
        </w:tc>
      </w:tr>
      <w:tr w:rsidR="00394A30" w14:paraId="74570FF0" w14:textId="77777777">
        <w:tc>
          <w:tcPr>
            <w:tcW w:w="7366" w:type="dxa"/>
          </w:tcPr>
          <w:p w14:paraId="69127B78" w14:textId="77777777" w:rsidR="00394A30" w:rsidRDefault="00000000">
            <w:r>
              <w:t>Automatické zmenšování písma při rozdělení obrazovky na více panelů, nastavení popisků, které se mají při zmenšení skrývat.</w:t>
            </w:r>
          </w:p>
        </w:tc>
        <w:tc>
          <w:tcPr>
            <w:tcW w:w="1701" w:type="dxa"/>
            <w:vAlign w:val="center"/>
          </w:tcPr>
          <w:p w14:paraId="05179260" w14:textId="77777777" w:rsidR="00394A30" w:rsidRDefault="00394A30">
            <w:pPr>
              <w:jc w:val="center"/>
            </w:pPr>
          </w:p>
        </w:tc>
      </w:tr>
      <w:tr w:rsidR="00394A30" w14:paraId="3D0F70D3" w14:textId="77777777">
        <w:tc>
          <w:tcPr>
            <w:tcW w:w="7366" w:type="dxa"/>
          </w:tcPr>
          <w:p w14:paraId="4B0B6AB0" w14:textId="77777777" w:rsidR="00394A30" w:rsidRDefault="00000000">
            <w:r>
              <w:t>Filtry (detekce hran, vyhlazení a zaostření snímku), barevné palety zobrazení.</w:t>
            </w:r>
          </w:p>
        </w:tc>
        <w:tc>
          <w:tcPr>
            <w:tcW w:w="1701" w:type="dxa"/>
            <w:vAlign w:val="center"/>
          </w:tcPr>
          <w:p w14:paraId="1008CF90" w14:textId="77777777" w:rsidR="00394A30" w:rsidRDefault="00394A30">
            <w:pPr>
              <w:jc w:val="center"/>
            </w:pPr>
          </w:p>
        </w:tc>
      </w:tr>
      <w:tr w:rsidR="00394A30" w14:paraId="1540C695" w14:textId="77777777">
        <w:tc>
          <w:tcPr>
            <w:tcW w:w="7366" w:type="dxa"/>
          </w:tcPr>
          <w:p w14:paraId="14681A42" w14:textId="77777777" w:rsidR="00394A30" w:rsidRDefault="00000000">
            <w:r>
              <w:t>Uživatelsky editovatelné klávesové zkratky – možnost nastavení klávesových zkratek na jednotlivé funkce.</w:t>
            </w:r>
          </w:p>
        </w:tc>
        <w:tc>
          <w:tcPr>
            <w:tcW w:w="1701" w:type="dxa"/>
            <w:vAlign w:val="center"/>
          </w:tcPr>
          <w:p w14:paraId="78C41404" w14:textId="77777777" w:rsidR="00394A30" w:rsidRDefault="00394A30">
            <w:pPr>
              <w:jc w:val="center"/>
            </w:pPr>
          </w:p>
        </w:tc>
      </w:tr>
      <w:tr w:rsidR="00394A30" w14:paraId="758ABB78" w14:textId="77777777">
        <w:tc>
          <w:tcPr>
            <w:tcW w:w="7366" w:type="dxa"/>
          </w:tcPr>
          <w:p w14:paraId="710EEF9C" w14:textId="77777777" w:rsidR="00394A30" w:rsidRDefault="00000000">
            <w:r>
              <w:t>Uživatelské předdefinování nástrojů na tlačítka myši dle typu vyšetření.</w:t>
            </w:r>
          </w:p>
        </w:tc>
        <w:tc>
          <w:tcPr>
            <w:tcW w:w="1701" w:type="dxa"/>
            <w:vAlign w:val="center"/>
          </w:tcPr>
          <w:p w14:paraId="650B1753" w14:textId="77777777" w:rsidR="00394A30" w:rsidRDefault="00394A30">
            <w:pPr>
              <w:jc w:val="center"/>
            </w:pPr>
          </w:p>
        </w:tc>
      </w:tr>
      <w:tr w:rsidR="00394A30" w14:paraId="3596A122" w14:textId="77777777">
        <w:tc>
          <w:tcPr>
            <w:tcW w:w="7366" w:type="dxa"/>
          </w:tcPr>
          <w:p w14:paraId="6646CF25" w14:textId="77777777" w:rsidR="00394A30" w:rsidRDefault="00000000">
            <w:r>
              <w:t>Uživatelské nastavení velikosti ikon, písma, popisků, volba světlého/tmavého režimu.</w:t>
            </w:r>
          </w:p>
        </w:tc>
        <w:tc>
          <w:tcPr>
            <w:tcW w:w="1701" w:type="dxa"/>
            <w:vAlign w:val="center"/>
          </w:tcPr>
          <w:p w14:paraId="4585B5A7" w14:textId="77777777" w:rsidR="00394A30" w:rsidRDefault="00394A30">
            <w:pPr>
              <w:jc w:val="center"/>
            </w:pPr>
          </w:p>
        </w:tc>
      </w:tr>
      <w:tr w:rsidR="00394A30" w14:paraId="35F46220" w14:textId="77777777">
        <w:tc>
          <w:tcPr>
            <w:tcW w:w="7366" w:type="dxa"/>
          </w:tcPr>
          <w:p w14:paraId="6EB06A8B" w14:textId="77777777" w:rsidR="00394A30" w:rsidRDefault="00000000">
            <w:r>
              <w:t>Uživatelské rozvržení panelu nástrojů na pracovní ploše prohlížeče a v kontextovém menu.</w:t>
            </w:r>
          </w:p>
        </w:tc>
        <w:tc>
          <w:tcPr>
            <w:tcW w:w="1701" w:type="dxa"/>
            <w:vAlign w:val="center"/>
          </w:tcPr>
          <w:p w14:paraId="00F4447F" w14:textId="77777777" w:rsidR="00394A30" w:rsidRDefault="00394A30">
            <w:pPr>
              <w:jc w:val="center"/>
            </w:pPr>
          </w:p>
        </w:tc>
      </w:tr>
      <w:tr w:rsidR="00394A30" w14:paraId="659C7988" w14:textId="77777777">
        <w:tc>
          <w:tcPr>
            <w:tcW w:w="7366" w:type="dxa"/>
          </w:tcPr>
          <w:p w14:paraId="7B6542FC" w14:textId="77777777" w:rsidR="00394A30" w:rsidRDefault="00000000">
            <w:r>
              <w:t>Nastavení a konfigurace musí být možné definovat na uživatele, stanici, skupinu uživatelů.</w:t>
            </w:r>
          </w:p>
        </w:tc>
        <w:tc>
          <w:tcPr>
            <w:tcW w:w="1701" w:type="dxa"/>
            <w:vAlign w:val="center"/>
          </w:tcPr>
          <w:p w14:paraId="76C7AF49" w14:textId="77777777" w:rsidR="00394A30" w:rsidRDefault="00394A30">
            <w:pPr>
              <w:jc w:val="center"/>
            </w:pPr>
          </w:p>
        </w:tc>
      </w:tr>
      <w:tr w:rsidR="00394A30" w14:paraId="045B2488" w14:textId="77777777">
        <w:tc>
          <w:tcPr>
            <w:tcW w:w="7366" w:type="dxa"/>
          </w:tcPr>
          <w:p w14:paraId="3EEF338B" w14:textId="77777777" w:rsidR="00394A30" w:rsidRDefault="00000000">
            <w:r>
              <w:t>Funkce, která umožňují administrátorům se přihlásit se stejnými oprávněními a nastavením jako uživatel, kterému poskytují podporu. Veškeré prováděné operace musí být auditovány pod uživatelem, který funkci aktivoval, aby nebylo možno tuto funkci zneužít.</w:t>
            </w:r>
          </w:p>
        </w:tc>
        <w:tc>
          <w:tcPr>
            <w:tcW w:w="1701" w:type="dxa"/>
            <w:vAlign w:val="center"/>
          </w:tcPr>
          <w:p w14:paraId="79992CDD" w14:textId="77777777" w:rsidR="00394A30" w:rsidRDefault="00394A30">
            <w:pPr>
              <w:jc w:val="center"/>
            </w:pPr>
          </w:p>
        </w:tc>
      </w:tr>
      <w:tr w:rsidR="00394A30" w14:paraId="71E5CD1A" w14:textId="77777777">
        <w:tc>
          <w:tcPr>
            <w:tcW w:w="7366" w:type="dxa"/>
          </w:tcPr>
          <w:p w14:paraId="37952DD4" w14:textId="77777777" w:rsidR="00394A30" w:rsidRDefault="00000000">
            <w:r>
              <w:t>Podpora zobrazení uložených měření ve stávajícím systému.</w:t>
            </w:r>
          </w:p>
        </w:tc>
        <w:tc>
          <w:tcPr>
            <w:tcW w:w="1701" w:type="dxa"/>
            <w:vAlign w:val="center"/>
          </w:tcPr>
          <w:p w14:paraId="710BEF3C" w14:textId="77777777" w:rsidR="00394A30" w:rsidRDefault="00394A30">
            <w:pPr>
              <w:jc w:val="center"/>
            </w:pPr>
          </w:p>
        </w:tc>
      </w:tr>
      <w:tr w:rsidR="00394A30" w14:paraId="20BB4FD2" w14:textId="77777777">
        <w:tc>
          <w:tcPr>
            <w:tcW w:w="7366" w:type="dxa"/>
          </w:tcPr>
          <w:p w14:paraId="17FA4579" w14:textId="77777777" w:rsidR="00394A30" w:rsidRDefault="00000000">
            <w:r>
              <w:t>Možnost uložení rozpracovaného stavu vyšetření na server pro následné použití (po přihlášení z jiného koncového zařízení, musí být možné zobrazit vyšetření v uloženém rozpracovaném stavu včetně komentářů, měření, rozložení obrazu, W/L apod.), uložený stav musí být možné sdílet s dalšími uživateli vč. možnosti vložení textového komentáře k uloženému stavu.</w:t>
            </w:r>
          </w:p>
        </w:tc>
        <w:tc>
          <w:tcPr>
            <w:tcW w:w="1701" w:type="dxa"/>
            <w:vAlign w:val="center"/>
          </w:tcPr>
          <w:p w14:paraId="77480380" w14:textId="77777777" w:rsidR="00394A30" w:rsidRDefault="00394A30">
            <w:pPr>
              <w:jc w:val="center"/>
            </w:pPr>
          </w:p>
        </w:tc>
      </w:tr>
      <w:tr w:rsidR="00394A30" w14:paraId="18705C66" w14:textId="77777777">
        <w:tc>
          <w:tcPr>
            <w:tcW w:w="7366" w:type="dxa"/>
          </w:tcPr>
          <w:p w14:paraId="4CF1EAC1" w14:textId="77777777" w:rsidR="00394A30" w:rsidRDefault="00000000">
            <w:r>
              <w:t xml:space="preserve">Integrovaná, zabezpečená online vzdálená konzultace více uživatelů s následujícími vlastnostmi: </w:t>
            </w:r>
          </w:p>
          <w:p w14:paraId="77C7C22E" w14:textId="77777777" w:rsidR="00394A30" w:rsidRDefault="00000000">
            <w:pPr>
              <w:numPr>
                <w:ilvl w:val="0"/>
                <w:numId w:val="2"/>
              </w:numPr>
              <w:pBdr>
                <w:top w:val="nil"/>
                <w:left w:val="nil"/>
                <w:bottom w:val="nil"/>
                <w:right w:val="nil"/>
                <w:between w:val="nil"/>
              </w:pBdr>
              <w:spacing w:line="259" w:lineRule="auto"/>
            </w:pPr>
            <w:r>
              <w:rPr>
                <w:color w:val="000000"/>
              </w:rPr>
              <w:t xml:space="preserve">sdílení pohledu v reálném čase na stejná dynamická obrazová data, </w:t>
            </w:r>
          </w:p>
          <w:p w14:paraId="45715745" w14:textId="77777777" w:rsidR="00394A30" w:rsidRDefault="00000000">
            <w:pPr>
              <w:numPr>
                <w:ilvl w:val="0"/>
                <w:numId w:val="2"/>
              </w:numPr>
              <w:pBdr>
                <w:top w:val="nil"/>
                <w:left w:val="nil"/>
                <w:bottom w:val="nil"/>
                <w:right w:val="nil"/>
                <w:between w:val="nil"/>
              </w:pBdr>
              <w:spacing w:line="259" w:lineRule="auto"/>
            </w:pPr>
            <w:r>
              <w:rPr>
                <w:color w:val="000000"/>
              </w:rPr>
              <w:t>v rámci konzultace musí být umožněno každému účastníkovi konzultace pracovat individuálně s vyšetřením, aniž by úpravy vyšetření vytvořené uživatelem viděli ostatní účastníci konzultace a zároveň musí mít každý účastník možnost provedené úpravy vyšetření zobrazit ostatním účastníkům konzultace. Sdílení provedených úprav vyšetření musí být provedeno formou přenesení pouze příkazů, aniž by se přenášela vlastní obrazová data (z důvodu rychlosti komunikace a zabránění zatížení sítě přenosem obrazových dat),</w:t>
            </w:r>
          </w:p>
          <w:p w14:paraId="282DD5F3" w14:textId="77777777" w:rsidR="00394A30" w:rsidRDefault="00000000">
            <w:pPr>
              <w:numPr>
                <w:ilvl w:val="0"/>
                <w:numId w:val="2"/>
              </w:numPr>
              <w:pBdr>
                <w:top w:val="nil"/>
                <w:left w:val="nil"/>
                <w:bottom w:val="nil"/>
                <w:right w:val="nil"/>
                <w:between w:val="nil"/>
              </w:pBdr>
              <w:spacing w:line="259" w:lineRule="auto"/>
            </w:pPr>
            <w:r>
              <w:rPr>
                <w:color w:val="000000"/>
              </w:rPr>
              <w:t>vkládání značek a textových poznámek,</w:t>
            </w:r>
          </w:p>
          <w:p w14:paraId="017583A1" w14:textId="77777777" w:rsidR="00394A30" w:rsidRDefault="00000000">
            <w:pPr>
              <w:numPr>
                <w:ilvl w:val="0"/>
                <w:numId w:val="2"/>
              </w:numPr>
              <w:pBdr>
                <w:top w:val="nil"/>
                <w:left w:val="nil"/>
                <w:bottom w:val="nil"/>
                <w:right w:val="nil"/>
                <w:between w:val="nil"/>
              </w:pBdr>
              <w:spacing w:line="259" w:lineRule="auto"/>
            </w:pPr>
            <w:r>
              <w:rPr>
                <w:color w:val="000000"/>
              </w:rPr>
              <w:lastRenderedPageBreak/>
              <w:t>neomezený počet současně spolupracujících uživatelů nad jedním vyšetřením,</w:t>
            </w:r>
          </w:p>
          <w:p w14:paraId="14475B62" w14:textId="77777777" w:rsidR="00394A30" w:rsidRDefault="00000000">
            <w:pPr>
              <w:numPr>
                <w:ilvl w:val="0"/>
                <w:numId w:val="2"/>
              </w:numPr>
              <w:pBdr>
                <w:top w:val="nil"/>
                <w:left w:val="nil"/>
                <w:bottom w:val="nil"/>
                <w:right w:val="nil"/>
                <w:between w:val="nil"/>
              </w:pBdr>
              <w:spacing w:line="259" w:lineRule="auto"/>
            </w:pPr>
            <w:r>
              <w:rPr>
                <w:color w:val="000000"/>
              </w:rPr>
              <w:t>neomezený počet současně aktivních konzultací,</w:t>
            </w:r>
          </w:p>
          <w:p w14:paraId="1089724E" w14:textId="77777777" w:rsidR="00394A30" w:rsidRDefault="00000000">
            <w:pPr>
              <w:numPr>
                <w:ilvl w:val="0"/>
                <w:numId w:val="2"/>
              </w:numPr>
              <w:pBdr>
                <w:top w:val="nil"/>
                <w:left w:val="nil"/>
                <w:bottom w:val="nil"/>
                <w:right w:val="nil"/>
                <w:between w:val="nil"/>
              </w:pBdr>
              <w:spacing w:after="160" w:line="259" w:lineRule="auto"/>
            </w:pPr>
            <w:r>
              <w:rPr>
                <w:color w:val="000000"/>
              </w:rPr>
              <w:t xml:space="preserve">podpora přizvání hostů, kteří nemají vytvořený účet pro přístup do systému, k on-line konzultaci (podpora externích spolupracovníků) zabezpečeným způsobem (např. zadáním </w:t>
            </w:r>
            <w:proofErr w:type="spellStart"/>
            <w:r>
              <w:rPr>
                <w:color w:val="000000"/>
              </w:rPr>
              <w:t>PINu</w:t>
            </w:r>
            <w:proofErr w:type="spellEnd"/>
            <w:r>
              <w:rPr>
                <w:color w:val="000000"/>
              </w:rPr>
              <w:t>).</w:t>
            </w:r>
          </w:p>
        </w:tc>
        <w:tc>
          <w:tcPr>
            <w:tcW w:w="1701" w:type="dxa"/>
            <w:vAlign w:val="center"/>
          </w:tcPr>
          <w:p w14:paraId="03F2E60E" w14:textId="77777777" w:rsidR="00394A30" w:rsidRDefault="00394A30">
            <w:pPr>
              <w:jc w:val="center"/>
            </w:pPr>
          </w:p>
        </w:tc>
      </w:tr>
      <w:tr w:rsidR="00394A30" w14:paraId="05AC4018" w14:textId="77777777">
        <w:tc>
          <w:tcPr>
            <w:tcW w:w="7366" w:type="dxa"/>
          </w:tcPr>
          <w:p w14:paraId="299584D1" w14:textId="77777777" w:rsidR="00394A30" w:rsidRDefault="00000000">
            <w:r>
              <w:t>Základní měření:</w:t>
            </w:r>
          </w:p>
          <w:p w14:paraId="68151A41" w14:textId="77777777" w:rsidR="00394A30" w:rsidRDefault="00000000">
            <w:pPr>
              <w:numPr>
                <w:ilvl w:val="0"/>
                <w:numId w:val="2"/>
              </w:numPr>
              <w:pBdr>
                <w:top w:val="nil"/>
                <w:left w:val="nil"/>
                <w:bottom w:val="nil"/>
                <w:right w:val="nil"/>
                <w:between w:val="nil"/>
              </w:pBdr>
              <w:spacing w:line="259" w:lineRule="auto"/>
            </w:pPr>
            <w:proofErr w:type="spellStart"/>
            <w:r>
              <w:rPr>
                <w:color w:val="000000"/>
              </w:rPr>
              <w:t>denzita</w:t>
            </w:r>
            <w:proofErr w:type="spellEnd"/>
            <w:r>
              <w:rPr>
                <w:color w:val="000000"/>
              </w:rPr>
              <w:t>,</w:t>
            </w:r>
          </w:p>
          <w:p w14:paraId="0C9D2D62" w14:textId="77777777" w:rsidR="00394A30" w:rsidRDefault="00000000">
            <w:pPr>
              <w:numPr>
                <w:ilvl w:val="0"/>
                <w:numId w:val="2"/>
              </w:numPr>
              <w:pBdr>
                <w:top w:val="nil"/>
                <w:left w:val="nil"/>
                <w:bottom w:val="nil"/>
                <w:right w:val="nil"/>
                <w:between w:val="nil"/>
              </w:pBdr>
              <w:spacing w:line="259" w:lineRule="auto"/>
            </w:pPr>
            <w:r>
              <w:rPr>
                <w:color w:val="000000"/>
              </w:rPr>
              <w:t>pravítko,</w:t>
            </w:r>
          </w:p>
          <w:p w14:paraId="04E2CAD8" w14:textId="77777777" w:rsidR="00394A30" w:rsidRDefault="00000000">
            <w:pPr>
              <w:numPr>
                <w:ilvl w:val="0"/>
                <w:numId w:val="2"/>
              </w:numPr>
              <w:pBdr>
                <w:top w:val="nil"/>
                <w:left w:val="nil"/>
                <w:bottom w:val="nil"/>
                <w:right w:val="nil"/>
                <w:between w:val="nil"/>
              </w:pBdr>
              <w:spacing w:line="259" w:lineRule="auto"/>
            </w:pPr>
            <w:r>
              <w:rPr>
                <w:color w:val="000000"/>
              </w:rPr>
              <w:t>tříbodový úhel,</w:t>
            </w:r>
          </w:p>
          <w:p w14:paraId="0B8C6377" w14:textId="77777777" w:rsidR="00394A30" w:rsidRDefault="00000000">
            <w:pPr>
              <w:numPr>
                <w:ilvl w:val="0"/>
                <w:numId w:val="2"/>
              </w:numPr>
              <w:pBdr>
                <w:top w:val="nil"/>
                <w:left w:val="nil"/>
                <w:bottom w:val="nil"/>
                <w:right w:val="nil"/>
                <w:between w:val="nil"/>
              </w:pBdr>
              <w:spacing w:line="259" w:lineRule="auto"/>
            </w:pPr>
            <w:r>
              <w:rPr>
                <w:color w:val="000000"/>
              </w:rPr>
              <w:t>poměr,</w:t>
            </w:r>
          </w:p>
          <w:p w14:paraId="23D0790A" w14:textId="77777777" w:rsidR="00394A30" w:rsidRDefault="00000000">
            <w:pPr>
              <w:numPr>
                <w:ilvl w:val="0"/>
                <w:numId w:val="2"/>
              </w:numPr>
              <w:pBdr>
                <w:top w:val="nil"/>
                <w:left w:val="nil"/>
                <w:bottom w:val="nil"/>
                <w:right w:val="nil"/>
                <w:between w:val="nil"/>
              </w:pBdr>
              <w:spacing w:line="259" w:lineRule="auto"/>
            </w:pPr>
            <w:r>
              <w:rPr>
                <w:color w:val="000000"/>
              </w:rPr>
              <w:t>kalibrace</w:t>
            </w:r>
          </w:p>
          <w:p w14:paraId="0FC03FF0" w14:textId="77777777" w:rsidR="00394A30" w:rsidRDefault="00000000">
            <w:pPr>
              <w:numPr>
                <w:ilvl w:val="0"/>
                <w:numId w:val="2"/>
              </w:numPr>
              <w:pBdr>
                <w:top w:val="nil"/>
                <w:left w:val="nil"/>
                <w:bottom w:val="nil"/>
                <w:right w:val="nil"/>
                <w:between w:val="nil"/>
              </w:pBdr>
              <w:spacing w:after="160" w:line="259" w:lineRule="auto"/>
            </w:pPr>
            <w:r>
              <w:rPr>
                <w:color w:val="000000"/>
              </w:rPr>
              <w:t>měření ortopedických úhlů dolní končetiny (HKA, FMA, TMA, JLCA).</w:t>
            </w:r>
          </w:p>
        </w:tc>
        <w:tc>
          <w:tcPr>
            <w:tcW w:w="1701" w:type="dxa"/>
            <w:vAlign w:val="center"/>
          </w:tcPr>
          <w:p w14:paraId="5D61A2B7" w14:textId="77777777" w:rsidR="00394A30" w:rsidRDefault="00394A30">
            <w:pPr>
              <w:jc w:val="center"/>
            </w:pPr>
          </w:p>
        </w:tc>
      </w:tr>
      <w:tr w:rsidR="00394A30" w14:paraId="394149B4" w14:textId="77777777">
        <w:tc>
          <w:tcPr>
            <w:tcW w:w="7366" w:type="dxa"/>
          </w:tcPr>
          <w:p w14:paraId="3C2384A1" w14:textId="77777777" w:rsidR="00394A30" w:rsidRDefault="00000000">
            <w:r>
              <w:t>Pokročilé měření:</w:t>
            </w:r>
          </w:p>
          <w:p w14:paraId="39A3D8E6" w14:textId="77777777" w:rsidR="00394A30" w:rsidRDefault="00000000">
            <w:pPr>
              <w:numPr>
                <w:ilvl w:val="0"/>
                <w:numId w:val="2"/>
              </w:numPr>
              <w:pBdr>
                <w:top w:val="nil"/>
                <w:left w:val="nil"/>
                <w:bottom w:val="nil"/>
                <w:right w:val="nil"/>
                <w:between w:val="nil"/>
              </w:pBdr>
              <w:spacing w:line="259" w:lineRule="auto"/>
            </w:pPr>
            <w:r>
              <w:rPr>
                <w:color w:val="000000"/>
              </w:rPr>
              <w:t>elipsa,</w:t>
            </w:r>
          </w:p>
          <w:p w14:paraId="5DC4C32C" w14:textId="77777777" w:rsidR="00394A30" w:rsidRDefault="00000000">
            <w:pPr>
              <w:numPr>
                <w:ilvl w:val="0"/>
                <w:numId w:val="2"/>
              </w:numPr>
              <w:pBdr>
                <w:top w:val="nil"/>
                <w:left w:val="nil"/>
                <w:bottom w:val="nil"/>
                <w:right w:val="nil"/>
                <w:between w:val="nil"/>
              </w:pBdr>
              <w:spacing w:line="259" w:lineRule="auto"/>
            </w:pPr>
            <w:r>
              <w:rPr>
                <w:color w:val="000000"/>
              </w:rPr>
              <w:t>obrys,</w:t>
            </w:r>
          </w:p>
          <w:p w14:paraId="60806418" w14:textId="77777777" w:rsidR="00394A30" w:rsidRDefault="00000000">
            <w:pPr>
              <w:numPr>
                <w:ilvl w:val="0"/>
                <w:numId w:val="2"/>
              </w:numPr>
              <w:pBdr>
                <w:top w:val="nil"/>
                <w:left w:val="nil"/>
                <w:bottom w:val="nil"/>
                <w:right w:val="nil"/>
                <w:between w:val="nil"/>
              </w:pBdr>
              <w:spacing w:line="259" w:lineRule="auto"/>
            </w:pPr>
            <w:r>
              <w:rPr>
                <w:color w:val="000000"/>
              </w:rPr>
              <w:t>kruh,</w:t>
            </w:r>
          </w:p>
          <w:p w14:paraId="388CE940" w14:textId="77777777" w:rsidR="00394A30" w:rsidRDefault="00000000">
            <w:pPr>
              <w:numPr>
                <w:ilvl w:val="0"/>
                <w:numId w:val="2"/>
              </w:numPr>
              <w:pBdr>
                <w:top w:val="nil"/>
                <w:left w:val="nil"/>
                <w:bottom w:val="nil"/>
                <w:right w:val="nil"/>
                <w:between w:val="nil"/>
              </w:pBdr>
              <w:spacing w:line="259" w:lineRule="auto"/>
            </w:pPr>
            <w:r>
              <w:rPr>
                <w:color w:val="000000"/>
              </w:rPr>
              <w:t>čtverec,</w:t>
            </w:r>
          </w:p>
          <w:p w14:paraId="10DD11BF" w14:textId="77777777" w:rsidR="00394A30" w:rsidRDefault="00000000">
            <w:pPr>
              <w:numPr>
                <w:ilvl w:val="0"/>
                <w:numId w:val="2"/>
              </w:numPr>
              <w:pBdr>
                <w:top w:val="nil"/>
                <w:left w:val="nil"/>
                <w:bottom w:val="nil"/>
                <w:right w:val="nil"/>
                <w:between w:val="nil"/>
              </w:pBdr>
              <w:spacing w:line="259" w:lineRule="auto"/>
            </w:pPr>
            <w:r>
              <w:rPr>
                <w:color w:val="000000"/>
              </w:rPr>
              <w:t>obdélník,</w:t>
            </w:r>
          </w:p>
          <w:p w14:paraId="0BFE8988" w14:textId="77777777" w:rsidR="00394A30" w:rsidRDefault="00000000">
            <w:pPr>
              <w:numPr>
                <w:ilvl w:val="0"/>
                <w:numId w:val="2"/>
              </w:numPr>
              <w:pBdr>
                <w:top w:val="nil"/>
                <w:left w:val="nil"/>
                <w:bottom w:val="nil"/>
                <w:right w:val="nil"/>
                <w:between w:val="nil"/>
              </w:pBdr>
              <w:spacing w:line="259" w:lineRule="auto"/>
            </w:pPr>
            <w:r>
              <w:rPr>
                <w:color w:val="000000"/>
              </w:rPr>
              <w:t>mnohoúhelník,</w:t>
            </w:r>
          </w:p>
          <w:p w14:paraId="3EEEE246" w14:textId="77777777" w:rsidR="00394A30" w:rsidRDefault="00000000">
            <w:pPr>
              <w:numPr>
                <w:ilvl w:val="0"/>
                <w:numId w:val="2"/>
              </w:numPr>
              <w:pBdr>
                <w:top w:val="nil"/>
                <w:left w:val="nil"/>
                <w:bottom w:val="nil"/>
                <w:right w:val="nil"/>
                <w:between w:val="nil"/>
              </w:pBdr>
              <w:spacing w:line="259" w:lineRule="auto"/>
            </w:pPr>
            <w:r>
              <w:rPr>
                <w:color w:val="000000"/>
              </w:rPr>
              <w:t>ROI (elipsa, volný obrys, kruh, čtverec, obdélník, předdefinovaná oblast o dané velikosti, zobrazení histogramu),</w:t>
            </w:r>
          </w:p>
          <w:p w14:paraId="6D6B7649" w14:textId="77777777" w:rsidR="00394A30" w:rsidRDefault="00000000">
            <w:pPr>
              <w:numPr>
                <w:ilvl w:val="0"/>
                <w:numId w:val="2"/>
              </w:numPr>
              <w:pBdr>
                <w:top w:val="nil"/>
                <w:left w:val="nil"/>
                <w:bottom w:val="nil"/>
                <w:right w:val="nil"/>
                <w:between w:val="nil"/>
              </w:pBdr>
              <w:spacing w:line="259" w:lineRule="auto"/>
            </w:pPr>
            <w:r>
              <w:rPr>
                <w:color w:val="000000"/>
              </w:rPr>
              <w:t xml:space="preserve">možnost uživatelského nastavení zobrazovaných hodnot ROI (průměrná </w:t>
            </w:r>
            <w:proofErr w:type="spellStart"/>
            <w:r>
              <w:rPr>
                <w:color w:val="000000"/>
              </w:rPr>
              <w:t>denzita</w:t>
            </w:r>
            <w:proofErr w:type="spellEnd"/>
            <w:r>
              <w:rPr>
                <w:color w:val="000000"/>
              </w:rPr>
              <w:t xml:space="preserve">, minimální </w:t>
            </w:r>
            <w:proofErr w:type="spellStart"/>
            <w:r>
              <w:rPr>
                <w:color w:val="000000"/>
              </w:rPr>
              <w:t>denzita</w:t>
            </w:r>
            <w:proofErr w:type="spellEnd"/>
            <w:r>
              <w:rPr>
                <w:color w:val="000000"/>
              </w:rPr>
              <w:t xml:space="preserve">, maximální </w:t>
            </w:r>
            <w:proofErr w:type="spellStart"/>
            <w:r>
              <w:rPr>
                <w:color w:val="000000"/>
              </w:rPr>
              <w:t>denzita</w:t>
            </w:r>
            <w:proofErr w:type="spellEnd"/>
            <w:r>
              <w:rPr>
                <w:color w:val="000000"/>
              </w:rPr>
              <w:t xml:space="preserve">, rozsah hodnot </w:t>
            </w:r>
            <w:proofErr w:type="spellStart"/>
            <w:r>
              <w:rPr>
                <w:color w:val="000000"/>
              </w:rPr>
              <w:t>denzity</w:t>
            </w:r>
            <w:proofErr w:type="spellEnd"/>
            <w:r>
              <w:rPr>
                <w:color w:val="000000"/>
              </w:rPr>
              <w:t>, obvod, plocha),</w:t>
            </w:r>
          </w:p>
          <w:p w14:paraId="4EA5CD13" w14:textId="77777777" w:rsidR="00394A30" w:rsidRDefault="00000000">
            <w:pPr>
              <w:numPr>
                <w:ilvl w:val="0"/>
                <w:numId w:val="2"/>
              </w:numPr>
              <w:pBdr>
                <w:top w:val="nil"/>
                <w:left w:val="nil"/>
                <w:bottom w:val="nil"/>
                <w:right w:val="nil"/>
                <w:between w:val="nil"/>
              </w:pBdr>
              <w:spacing w:line="259" w:lineRule="auto"/>
            </w:pPr>
            <w:proofErr w:type="spellStart"/>
            <w:r>
              <w:rPr>
                <w:color w:val="000000"/>
              </w:rPr>
              <w:t>Cobbův</w:t>
            </w:r>
            <w:proofErr w:type="spellEnd"/>
            <w:r>
              <w:rPr>
                <w:color w:val="000000"/>
              </w:rPr>
              <w:t xml:space="preserve"> úhel,</w:t>
            </w:r>
          </w:p>
          <w:p w14:paraId="49B923CC" w14:textId="77777777" w:rsidR="00394A30" w:rsidRDefault="00000000">
            <w:pPr>
              <w:numPr>
                <w:ilvl w:val="0"/>
                <w:numId w:val="2"/>
              </w:numPr>
              <w:pBdr>
                <w:top w:val="nil"/>
                <w:left w:val="nil"/>
                <w:bottom w:val="nil"/>
                <w:right w:val="nil"/>
                <w:between w:val="nil"/>
              </w:pBdr>
              <w:spacing w:line="259" w:lineRule="auto"/>
            </w:pPr>
            <w:proofErr w:type="spellStart"/>
            <w:r>
              <w:rPr>
                <w:color w:val="000000"/>
              </w:rPr>
              <w:t>Böhlerův</w:t>
            </w:r>
            <w:proofErr w:type="spellEnd"/>
            <w:r>
              <w:rPr>
                <w:color w:val="000000"/>
              </w:rPr>
              <w:t xml:space="preserve"> úhel,</w:t>
            </w:r>
          </w:p>
          <w:p w14:paraId="5E9F3767" w14:textId="77777777" w:rsidR="00394A30" w:rsidRDefault="00000000">
            <w:pPr>
              <w:numPr>
                <w:ilvl w:val="0"/>
                <w:numId w:val="2"/>
              </w:numPr>
              <w:pBdr>
                <w:top w:val="nil"/>
                <w:left w:val="nil"/>
                <w:bottom w:val="nil"/>
                <w:right w:val="nil"/>
                <w:between w:val="nil"/>
              </w:pBdr>
              <w:spacing w:line="259" w:lineRule="auto"/>
            </w:pPr>
            <w:r>
              <w:rPr>
                <w:color w:val="000000"/>
              </w:rPr>
              <w:t>zakřivení,</w:t>
            </w:r>
          </w:p>
          <w:p w14:paraId="1D1D52A5" w14:textId="77777777" w:rsidR="00394A30" w:rsidRDefault="00000000">
            <w:pPr>
              <w:numPr>
                <w:ilvl w:val="0"/>
                <w:numId w:val="2"/>
              </w:numPr>
              <w:pBdr>
                <w:top w:val="nil"/>
                <w:left w:val="nil"/>
                <w:bottom w:val="nil"/>
                <w:right w:val="nil"/>
                <w:between w:val="nil"/>
              </w:pBdr>
              <w:spacing w:after="160" w:line="259" w:lineRule="auto"/>
            </w:pPr>
            <w:r>
              <w:rPr>
                <w:color w:val="000000"/>
              </w:rPr>
              <w:t>zobrazení statistiky v ROI.</w:t>
            </w:r>
          </w:p>
        </w:tc>
        <w:tc>
          <w:tcPr>
            <w:tcW w:w="1701" w:type="dxa"/>
            <w:vAlign w:val="center"/>
          </w:tcPr>
          <w:p w14:paraId="08F850D2" w14:textId="77777777" w:rsidR="00394A30" w:rsidRDefault="00394A30">
            <w:pPr>
              <w:jc w:val="center"/>
            </w:pPr>
          </w:p>
        </w:tc>
      </w:tr>
      <w:tr w:rsidR="00394A30" w14:paraId="4322CC25" w14:textId="77777777">
        <w:tc>
          <w:tcPr>
            <w:tcW w:w="7366" w:type="dxa"/>
          </w:tcPr>
          <w:p w14:paraId="18B547D3" w14:textId="77777777" w:rsidR="00394A30" w:rsidRDefault="00000000">
            <w:r>
              <w:t>Manipulace s dvourozměrnými (nastavení W/L, zvětšení, posouvání, lupa s možností zvětšování po krocích, rotace, převracení dle vodorovné/svislé osy).</w:t>
            </w:r>
          </w:p>
        </w:tc>
        <w:tc>
          <w:tcPr>
            <w:tcW w:w="1701" w:type="dxa"/>
            <w:vAlign w:val="center"/>
          </w:tcPr>
          <w:p w14:paraId="7D911D6D" w14:textId="77777777" w:rsidR="00394A30" w:rsidRDefault="00394A30">
            <w:pPr>
              <w:jc w:val="center"/>
            </w:pPr>
          </w:p>
        </w:tc>
      </w:tr>
      <w:tr w:rsidR="00394A30" w14:paraId="4A358EE5" w14:textId="77777777">
        <w:tc>
          <w:tcPr>
            <w:tcW w:w="7366" w:type="dxa"/>
          </w:tcPr>
          <w:p w14:paraId="28FE7080" w14:textId="77777777" w:rsidR="00394A30" w:rsidRDefault="00000000">
            <w:r>
              <w:t>Vytvoření klíčových snímků dle standardu DICOM (</w:t>
            </w:r>
            <w:proofErr w:type="spellStart"/>
            <w:r>
              <w:t>Key</w:t>
            </w:r>
            <w:proofErr w:type="spellEnd"/>
            <w:r>
              <w:t xml:space="preserve"> </w:t>
            </w:r>
            <w:proofErr w:type="spellStart"/>
            <w:r>
              <w:t>objects</w:t>
            </w:r>
            <w:proofErr w:type="spellEnd"/>
            <w:r>
              <w:t>) vč. jejich zobrazení a možnosti uložení jako nové série vyšetření.</w:t>
            </w:r>
          </w:p>
        </w:tc>
        <w:tc>
          <w:tcPr>
            <w:tcW w:w="1701" w:type="dxa"/>
            <w:vAlign w:val="center"/>
          </w:tcPr>
          <w:p w14:paraId="442E95CC" w14:textId="77777777" w:rsidR="00394A30" w:rsidRDefault="00394A30">
            <w:pPr>
              <w:jc w:val="center"/>
            </w:pPr>
          </w:p>
        </w:tc>
      </w:tr>
      <w:tr w:rsidR="00394A30" w14:paraId="01E6AD8A" w14:textId="77777777">
        <w:tc>
          <w:tcPr>
            <w:tcW w:w="7366" w:type="dxa"/>
          </w:tcPr>
          <w:p w14:paraId="03B7D497" w14:textId="77777777" w:rsidR="00394A30" w:rsidRDefault="00000000">
            <w:r>
              <w:t>Možnost práce s EKG signály generovanými ve formátu DICOM min. v rozsahu:</w:t>
            </w:r>
          </w:p>
          <w:p w14:paraId="3E635FD3" w14:textId="77777777" w:rsidR="00394A30" w:rsidRDefault="00000000">
            <w:pPr>
              <w:numPr>
                <w:ilvl w:val="0"/>
                <w:numId w:val="2"/>
              </w:numPr>
              <w:pBdr>
                <w:top w:val="nil"/>
                <w:left w:val="nil"/>
                <w:bottom w:val="nil"/>
                <w:right w:val="nil"/>
                <w:between w:val="nil"/>
              </w:pBdr>
              <w:spacing w:line="259" w:lineRule="auto"/>
            </w:pPr>
            <w:r>
              <w:rPr>
                <w:color w:val="000000"/>
              </w:rPr>
              <w:t xml:space="preserve">zobrazení </w:t>
            </w:r>
            <w:proofErr w:type="gramStart"/>
            <w:r>
              <w:rPr>
                <w:color w:val="000000"/>
              </w:rPr>
              <w:t>12-svodového</w:t>
            </w:r>
            <w:proofErr w:type="gramEnd"/>
            <w:r>
              <w:rPr>
                <w:color w:val="000000"/>
              </w:rPr>
              <w:t xml:space="preserve"> záznamu,</w:t>
            </w:r>
          </w:p>
          <w:p w14:paraId="055FF99F" w14:textId="77777777" w:rsidR="00394A30" w:rsidRDefault="00000000">
            <w:pPr>
              <w:numPr>
                <w:ilvl w:val="0"/>
                <w:numId w:val="2"/>
              </w:numPr>
              <w:pBdr>
                <w:top w:val="nil"/>
                <w:left w:val="nil"/>
                <w:bottom w:val="nil"/>
                <w:right w:val="nil"/>
                <w:between w:val="nil"/>
              </w:pBdr>
              <w:spacing w:line="259" w:lineRule="auto"/>
            </w:pPr>
            <w:r>
              <w:rPr>
                <w:color w:val="000000"/>
              </w:rPr>
              <w:t>možnost zobrazit pouze vybraný svod/vybrané svody,</w:t>
            </w:r>
          </w:p>
          <w:p w14:paraId="4DF805AE" w14:textId="77777777" w:rsidR="00394A30" w:rsidRDefault="00000000">
            <w:pPr>
              <w:numPr>
                <w:ilvl w:val="0"/>
                <w:numId w:val="2"/>
              </w:numPr>
              <w:pBdr>
                <w:top w:val="nil"/>
                <w:left w:val="nil"/>
                <w:bottom w:val="nil"/>
                <w:right w:val="nil"/>
                <w:between w:val="nil"/>
              </w:pBdr>
              <w:spacing w:line="259" w:lineRule="auto"/>
            </w:pPr>
            <w:r>
              <w:rPr>
                <w:color w:val="000000"/>
              </w:rPr>
              <w:t>možnost daný signál zvětšovat a posouvat v průběhu signálu,</w:t>
            </w:r>
          </w:p>
          <w:p w14:paraId="3EFEB18A" w14:textId="77777777" w:rsidR="00394A30" w:rsidRDefault="00000000">
            <w:pPr>
              <w:numPr>
                <w:ilvl w:val="0"/>
                <w:numId w:val="2"/>
              </w:numPr>
              <w:pBdr>
                <w:top w:val="nil"/>
                <w:left w:val="nil"/>
                <w:bottom w:val="nil"/>
                <w:right w:val="nil"/>
                <w:between w:val="nil"/>
              </w:pBdr>
              <w:spacing w:line="259" w:lineRule="auto"/>
            </w:pPr>
            <w:r>
              <w:rPr>
                <w:color w:val="000000"/>
              </w:rPr>
              <w:t>možnost porovnávat dva a více různých signálů,</w:t>
            </w:r>
          </w:p>
          <w:p w14:paraId="4BEDBFFE" w14:textId="77777777" w:rsidR="00394A30" w:rsidRDefault="00000000">
            <w:pPr>
              <w:numPr>
                <w:ilvl w:val="0"/>
                <w:numId w:val="2"/>
              </w:numPr>
              <w:pBdr>
                <w:top w:val="nil"/>
                <w:left w:val="nil"/>
                <w:bottom w:val="nil"/>
                <w:right w:val="nil"/>
                <w:between w:val="nil"/>
              </w:pBdr>
              <w:spacing w:line="259" w:lineRule="auto"/>
            </w:pPr>
            <w:r>
              <w:rPr>
                <w:color w:val="000000"/>
              </w:rPr>
              <w:t>zobrazení základních informací o signálu,</w:t>
            </w:r>
          </w:p>
          <w:p w14:paraId="7AEB4A56" w14:textId="77777777" w:rsidR="00394A30" w:rsidRDefault="00000000">
            <w:pPr>
              <w:numPr>
                <w:ilvl w:val="0"/>
                <w:numId w:val="2"/>
              </w:numPr>
              <w:pBdr>
                <w:top w:val="nil"/>
                <w:left w:val="nil"/>
                <w:bottom w:val="nil"/>
                <w:right w:val="nil"/>
                <w:between w:val="nil"/>
              </w:pBdr>
              <w:spacing w:line="259" w:lineRule="auto"/>
            </w:pPr>
            <w:r>
              <w:rPr>
                <w:color w:val="000000"/>
              </w:rPr>
              <w:t>měření amplitud a period,</w:t>
            </w:r>
          </w:p>
          <w:p w14:paraId="2F8FC7FE" w14:textId="77777777" w:rsidR="00394A30" w:rsidRDefault="00000000">
            <w:pPr>
              <w:numPr>
                <w:ilvl w:val="0"/>
                <w:numId w:val="2"/>
              </w:numPr>
              <w:pBdr>
                <w:top w:val="nil"/>
                <w:left w:val="nil"/>
                <w:bottom w:val="nil"/>
                <w:right w:val="nil"/>
                <w:between w:val="nil"/>
              </w:pBdr>
              <w:spacing w:after="160" w:line="259" w:lineRule="auto"/>
            </w:pPr>
            <w:r>
              <w:rPr>
                <w:color w:val="000000"/>
              </w:rPr>
              <w:t>tisk signálu v odpovídajícím měřítku včetně cejchu.</w:t>
            </w:r>
          </w:p>
        </w:tc>
        <w:tc>
          <w:tcPr>
            <w:tcW w:w="1701" w:type="dxa"/>
            <w:vAlign w:val="center"/>
          </w:tcPr>
          <w:p w14:paraId="39F833C4" w14:textId="77777777" w:rsidR="00394A30" w:rsidRDefault="00394A30">
            <w:pPr>
              <w:jc w:val="center"/>
            </w:pPr>
          </w:p>
        </w:tc>
      </w:tr>
      <w:tr w:rsidR="00394A30" w14:paraId="442748BA" w14:textId="77777777">
        <w:tc>
          <w:tcPr>
            <w:tcW w:w="7366" w:type="dxa"/>
          </w:tcPr>
          <w:p w14:paraId="099C379D" w14:textId="77777777" w:rsidR="00394A30" w:rsidRDefault="00000000">
            <w:r>
              <w:t xml:space="preserve">Možnost přednastavení šablon (hodnot kontrastu) pro různé typy vyšetření. Šablony umožňují přednastavení hodnot </w:t>
            </w:r>
            <w:proofErr w:type="spellStart"/>
            <w:r>
              <w:t>window</w:t>
            </w:r>
            <w:proofErr w:type="spellEnd"/>
            <w:r>
              <w:t xml:space="preserve"> level, případně další parametry, pro různé typy vyšetření na klávesové zkratky.</w:t>
            </w:r>
          </w:p>
        </w:tc>
        <w:tc>
          <w:tcPr>
            <w:tcW w:w="1701" w:type="dxa"/>
            <w:vAlign w:val="center"/>
          </w:tcPr>
          <w:p w14:paraId="490E4985" w14:textId="77777777" w:rsidR="00394A30" w:rsidRDefault="00394A30">
            <w:pPr>
              <w:jc w:val="center"/>
            </w:pPr>
          </w:p>
        </w:tc>
      </w:tr>
      <w:tr w:rsidR="00394A30" w14:paraId="1AD68FB0" w14:textId="77777777">
        <w:tc>
          <w:tcPr>
            <w:tcW w:w="7366" w:type="dxa"/>
          </w:tcPr>
          <w:p w14:paraId="321DD4D3" w14:textId="77777777" w:rsidR="00394A30" w:rsidRDefault="00000000">
            <w:r>
              <w:t>Vkládání anotací.</w:t>
            </w:r>
          </w:p>
        </w:tc>
        <w:tc>
          <w:tcPr>
            <w:tcW w:w="1701" w:type="dxa"/>
            <w:vAlign w:val="center"/>
          </w:tcPr>
          <w:p w14:paraId="3D7A608B" w14:textId="77777777" w:rsidR="00394A30" w:rsidRDefault="00394A30">
            <w:pPr>
              <w:jc w:val="center"/>
            </w:pPr>
          </w:p>
        </w:tc>
      </w:tr>
      <w:tr w:rsidR="00394A30" w14:paraId="0FD0D6EF" w14:textId="77777777">
        <w:tc>
          <w:tcPr>
            <w:tcW w:w="7366" w:type="dxa"/>
          </w:tcPr>
          <w:p w14:paraId="34530896" w14:textId="77777777" w:rsidR="00394A30" w:rsidRDefault="00000000">
            <w:r>
              <w:lastRenderedPageBreak/>
              <w:t>Indikátor aktuálně zobrazené série/snímku.</w:t>
            </w:r>
          </w:p>
        </w:tc>
        <w:tc>
          <w:tcPr>
            <w:tcW w:w="1701" w:type="dxa"/>
            <w:vAlign w:val="center"/>
          </w:tcPr>
          <w:p w14:paraId="707D3E6D" w14:textId="77777777" w:rsidR="00394A30" w:rsidRDefault="00394A30">
            <w:pPr>
              <w:jc w:val="center"/>
            </w:pPr>
          </w:p>
        </w:tc>
      </w:tr>
      <w:tr w:rsidR="00394A30" w14:paraId="1D1D2535" w14:textId="77777777">
        <w:tc>
          <w:tcPr>
            <w:tcW w:w="7366" w:type="dxa"/>
          </w:tcPr>
          <w:p w14:paraId="59D241B3" w14:textId="77777777" w:rsidR="00394A30" w:rsidRDefault="00000000">
            <w:r>
              <w:t>Import DICOM dat, vč. možnosti editace údajů při importu a výběru cílového archivu, kam se data importují. Možnost importu pouze pro přihlášeného uživatele nebo aktuální pracovní stanici.</w:t>
            </w:r>
          </w:p>
        </w:tc>
        <w:tc>
          <w:tcPr>
            <w:tcW w:w="1701" w:type="dxa"/>
            <w:vAlign w:val="center"/>
          </w:tcPr>
          <w:p w14:paraId="722F56AD" w14:textId="77777777" w:rsidR="00394A30" w:rsidRDefault="00394A30">
            <w:pPr>
              <w:jc w:val="center"/>
            </w:pPr>
          </w:p>
        </w:tc>
      </w:tr>
      <w:tr w:rsidR="00394A30" w14:paraId="361E34EF" w14:textId="77777777">
        <w:tc>
          <w:tcPr>
            <w:tcW w:w="7366" w:type="dxa"/>
          </w:tcPr>
          <w:p w14:paraId="02292D90" w14:textId="77777777" w:rsidR="00394A30" w:rsidRDefault="00000000">
            <w:r>
              <w:t>Uživatelská dokumentace dostupná jako součást prostředí prohlížeče.</w:t>
            </w:r>
          </w:p>
        </w:tc>
        <w:tc>
          <w:tcPr>
            <w:tcW w:w="1701" w:type="dxa"/>
            <w:vAlign w:val="center"/>
          </w:tcPr>
          <w:p w14:paraId="00C58F7C" w14:textId="77777777" w:rsidR="00394A30" w:rsidRDefault="00394A30">
            <w:pPr>
              <w:jc w:val="center"/>
            </w:pPr>
          </w:p>
        </w:tc>
      </w:tr>
      <w:tr w:rsidR="00394A30" w14:paraId="6E4FC2FF" w14:textId="77777777">
        <w:tc>
          <w:tcPr>
            <w:tcW w:w="7366" w:type="dxa"/>
          </w:tcPr>
          <w:p w14:paraId="3FE177BB" w14:textId="77777777" w:rsidR="00394A30" w:rsidRDefault="00000000">
            <w:r>
              <w:t>Měření objemu.</w:t>
            </w:r>
          </w:p>
        </w:tc>
        <w:tc>
          <w:tcPr>
            <w:tcW w:w="1701" w:type="dxa"/>
            <w:vAlign w:val="center"/>
          </w:tcPr>
          <w:p w14:paraId="47BB0F89" w14:textId="77777777" w:rsidR="00394A30" w:rsidRDefault="00394A30">
            <w:pPr>
              <w:jc w:val="center"/>
            </w:pPr>
          </w:p>
        </w:tc>
      </w:tr>
      <w:tr w:rsidR="00394A30" w14:paraId="615F82DE" w14:textId="77777777">
        <w:tc>
          <w:tcPr>
            <w:tcW w:w="7366" w:type="dxa"/>
          </w:tcPr>
          <w:p w14:paraId="04F8B4BD" w14:textId="77777777" w:rsidR="00394A30" w:rsidRDefault="00000000">
            <w:r>
              <w:t>Manipulace s dvourozměrnými i 3D snímky (nastavení W/L, nastavení LUT, zvětšení, posouvání, lupa s možností zvětšování po krocích, rotace, převracení dle vodorovné/svislé osy).</w:t>
            </w:r>
          </w:p>
        </w:tc>
        <w:tc>
          <w:tcPr>
            <w:tcW w:w="1701" w:type="dxa"/>
            <w:vAlign w:val="center"/>
          </w:tcPr>
          <w:p w14:paraId="543A7320" w14:textId="77777777" w:rsidR="00394A30" w:rsidRDefault="00394A30">
            <w:pPr>
              <w:jc w:val="center"/>
            </w:pPr>
          </w:p>
        </w:tc>
      </w:tr>
      <w:tr w:rsidR="00394A30" w14:paraId="1DFDFE8E" w14:textId="77777777">
        <w:tc>
          <w:tcPr>
            <w:tcW w:w="7366" w:type="dxa"/>
          </w:tcPr>
          <w:p w14:paraId="282C5C3C" w14:textId="77777777" w:rsidR="00394A30" w:rsidRDefault="00000000">
            <w:r>
              <w:t>Podpora manuální a automatické synchronizace, u manuální synchronizace volba pouze synchronizace snímků, s W/L nebo kompletní synchronizace se všemi dalším funkcemi (</w:t>
            </w:r>
            <w:proofErr w:type="gramStart"/>
            <w:r>
              <w:t>zoom,</w:t>
            </w:r>
            <w:proofErr w:type="gramEnd"/>
            <w:r>
              <w:t xml:space="preserve"> apod.), u automatické synchronizace pouze synchronizace snímků nebo kompletní synchronizace se všemi dalšími funkcemi.</w:t>
            </w:r>
          </w:p>
        </w:tc>
        <w:tc>
          <w:tcPr>
            <w:tcW w:w="1701" w:type="dxa"/>
            <w:vAlign w:val="center"/>
          </w:tcPr>
          <w:p w14:paraId="48DB3E9E" w14:textId="77777777" w:rsidR="00394A30" w:rsidRDefault="00394A30">
            <w:pPr>
              <w:jc w:val="center"/>
            </w:pPr>
          </w:p>
        </w:tc>
      </w:tr>
      <w:tr w:rsidR="00394A30" w14:paraId="2554BE0D" w14:textId="77777777">
        <w:tc>
          <w:tcPr>
            <w:tcW w:w="7366" w:type="dxa"/>
          </w:tcPr>
          <w:p w14:paraId="341B482E" w14:textId="77777777" w:rsidR="00394A30" w:rsidRDefault="00000000">
            <w:r>
              <w:t xml:space="preserve">MPR, </w:t>
            </w:r>
            <w:proofErr w:type="spellStart"/>
            <w:r>
              <w:t>curved</w:t>
            </w:r>
            <w:proofErr w:type="spellEnd"/>
            <w:r>
              <w:t xml:space="preserve"> MPR, objemová rekonstrukce, MIP, </w:t>
            </w:r>
            <w:proofErr w:type="spellStart"/>
            <w:r>
              <w:t>MinIP</w:t>
            </w:r>
            <w:proofErr w:type="spellEnd"/>
            <w:r>
              <w:t>, průměr, 3D kurzor, VRT, DVR.</w:t>
            </w:r>
          </w:p>
        </w:tc>
        <w:tc>
          <w:tcPr>
            <w:tcW w:w="1701" w:type="dxa"/>
            <w:vAlign w:val="center"/>
          </w:tcPr>
          <w:p w14:paraId="15ACE834" w14:textId="77777777" w:rsidR="00394A30" w:rsidRDefault="00394A30">
            <w:pPr>
              <w:jc w:val="center"/>
            </w:pPr>
          </w:p>
        </w:tc>
      </w:tr>
      <w:tr w:rsidR="00394A30" w14:paraId="4531C4EE" w14:textId="77777777">
        <w:tc>
          <w:tcPr>
            <w:tcW w:w="7366" w:type="dxa"/>
          </w:tcPr>
          <w:p w14:paraId="3F0BC42D" w14:textId="77777777" w:rsidR="00394A30" w:rsidRDefault="00000000">
            <w:r>
              <w:t>Možnost interaktivní změny tloušťky řezu.</w:t>
            </w:r>
          </w:p>
        </w:tc>
        <w:tc>
          <w:tcPr>
            <w:tcW w:w="1701" w:type="dxa"/>
            <w:vAlign w:val="center"/>
          </w:tcPr>
          <w:p w14:paraId="4171C8D1" w14:textId="77777777" w:rsidR="00394A30" w:rsidRDefault="00394A30">
            <w:pPr>
              <w:jc w:val="center"/>
            </w:pPr>
          </w:p>
        </w:tc>
      </w:tr>
      <w:tr w:rsidR="00394A30" w14:paraId="4B1D7648" w14:textId="77777777">
        <w:tc>
          <w:tcPr>
            <w:tcW w:w="7366" w:type="dxa"/>
          </w:tcPr>
          <w:p w14:paraId="215CB17C" w14:textId="77777777" w:rsidR="00394A30" w:rsidRDefault="00000000">
            <w:r>
              <w:t>Fúze pro neomezené množství modalit (min. ze 3 modalit – PET CT, MR, CT), posun aktivní vrstvy ve fúzi.</w:t>
            </w:r>
          </w:p>
        </w:tc>
        <w:tc>
          <w:tcPr>
            <w:tcW w:w="1701" w:type="dxa"/>
            <w:vAlign w:val="center"/>
          </w:tcPr>
          <w:p w14:paraId="7C119F69" w14:textId="77777777" w:rsidR="00394A30" w:rsidRDefault="00394A30">
            <w:pPr>
              <w:jc w:val="center"/>
            </w:pPr>
          </w:p>
        </w:tc>
      </w:tr>
      <w:tr w:rsidR="00394A30" w14:paraId="49142B96" w14:textId="77777777">
        <w:tc>
          <w:tcPr>
            <w:tcW w:w="7366" w:type="dxa"/>
          </w:tcPr>
          <w:p w14:paraId="444F7ACD" w14:textId="77777777" w:rsidR="00394A30" w:rsidRDefault="00000000">
            <w:r>
              <w:t>Zobrazení, vytváření a editace RTSTRUCT kontur.</w:t>
            </w:r>
          </w:p>
        </w:tc>
        <w:tc>
          <w:tcPr>
            <w:tcW w:w="1701" w:type="dxa"/>
            <w:vAlign w:val="center"/>
          </w:tcPr>
          <w:p w14:paraId="3826F1BA" w14:textId="77777777" w:rsidR="00394A30" w:rsidRDefault="00394A30">
            <w:pPr>
              <w:jc w:val="center"/>
            </w:pPr>
          </w:p>
        </w:tc>
      </w:tr>
      <w:tr w:rsidR="00394A30" w14:paraId="72677B0F" w14:textId="77777777">
        <w:tc>
          <w:tcPr>
            <w:tcW w:w="7366" w:type="dxa"/>
          </w:tcPr>
          <w:p w14:paraId="25D8EA1E" w14:textId="77777777" w:rsidR="00394A30" w:rsidRDefault="00000000">
            <w:r>
              <w:t>Závěsné (</w:t>
            </w:r>
            <w:proofErr w:type="spellStart"/>
            <w:r>
              <w:t>hanging</w:t>
            </w:r>
            <w:proofErr w:type="spellEnd"/>
            <w:r>
              <w:t xml:space="preserve">) protokoly – možnost pokročilé definice </w:t>
            </w:r>
            <w:proofErr w:type="spellStart"/>
            <w:r>
              <w:t>hanging</w:t>
            </w:r>
            <w:proofErr w:type="spellEnd"/>
            <w:r>
              <w:t xml:space="preserve"> protokolů a kombinace pravidel pro zobrazení vyšetření. Musí být možné definovat min. rozložení obrazu (rozdělení obrazovky/obrazovek) dle typu vyšetření, počet diagnostických monitorů a nastavení zobrazení na každém z nich, automatické porovnání aktuálního a předchozích vyšetření, definice nastavení výchozí hodnot jako je např. WL, zoom, nastavení pozice otevření vyšetření, MPR, </w:t>
            </w:r>
            <w:proofErr w:type="gramStart"/>
            <w:r>
              <w:t>3D</w:t>
            </w:r>
            <w:proofErr w:type="gramEnd"/>
            <w:r>
              <w:t xml:space="preserve"> rekonstrukce, apod. Všechna tato pravidla musí být možné kombinovat.</w:t>
            </w:r>
          </w:p>
        </w:tc>
        <w:tc>
          <w:tcPr>
            <w:tcW w:w="1701" w:type="dxa"/>
            <w:vAlign w:val="center"/>
          </w:tcPr>
          <w:p w14:paraId="0D9A4576" w14:textId="77777777" w:rsidR="00394A30" w:rsidRDefault="00394A30">
            <w:pPr>
              <w:jc w:val="center"/>
            </w:pPr>
          </w:p>
        </w:tc>
      </w:tr>
      <w:tr w:rsidR="00394A30" w14:paraId="698E6113" w14:textId="77777777">
        <w:tc>
          <w:tcPr>
            <w:tcW w:w="7366" w:type="dxa"/>
          </w:tcPr>
          <w:p w14:paraId="06E8DB53" w14:textId="77777777" w:rsidR="00394A30" w:rsidRDefault="00000000">
            <w:r>
              <w:t>Vytváření DICOM SR (</w:t>
            </w:r>
            <w:proofErr w:type="spellStart"/>
            <w:r>
              <w:t>Structured</w:t>
            </w:r>
            <w:proofErr w:type="spellEnd"/>
            <w:r>
              <w:t xml:space="preserve"> Report), vč. možnosti vytváření SR dle předdefinovaných textů. Možnost odeslání SR do NIS/RIS přes HL7.</w:t>
            </w:r>
          </w:p>
        </w:tc>
        <w:tc>
          <w:tcPr>
            <w:tcW w:w="1701" w:type="dxa"/>
            <w:vAlign w:val="center"/>
          </w:tcPr>
          <w:p w14:paraId="2E32AFC8" w14:textId="77777777" w:rsidR="00394A30" w:rsidRDefault="00394A30">
            <w:pPr>
              <w:jc w:val="center"/>
            </w:pPr>
          </w:p>
        </w:tc>
      </w:tr>
      <w:tr w:rsidR="00394A30" w14:paraId="7E56F31D" w14:textId="77777777">
        <w:tc>
          <w:tcPr>
            <w:tcW w:w="7366" w:type="dxa"/>
          </w:tcPr>
          <w:p w14:paraId="162EF271" w14:textId="77777777" w:rsidR="00394A30" w:rsidRDefault="00000000">
            <w:r>
              <w:t>Možnost otevírat vyšetření v samostatných záložkách, mezi kterými lze v uživatelském prostředí DICOM prohlížeče přepínat.</w:t>
            </w:r>
          </w:p>
        </w:tc>
        <w:tc>
          <w:tcPr>
            <w:tcW w:w="1701" w:type="dxa"/>
            <w:vAlign w:val="center"/>
          </w:tcPr>
          <w:p w14:paraId="2217990B" w14:textId="77777777" w:rsidR="00394A30" w:rsidRDefault="00394A30">
            <w:pPr>
              <w:jc w:val="center"/>
            </w:pPr>
          </w:p>
        </w:tc>
      </w:tr>
      <w:tr w:rsidR="00394A30" w14:paraId="3E64D889" w14:textId="77777777">
        <w:tc>
          <w:tcPr>
            <w:tcW w:w="7366" w:type="dxa"/>
          </w:tcPr>
          <w:p w14:paraId="68B9A19C" w14:textId="77777777" w:rsidR="00394A30" w:rsidRDefault="00000000">
            <w:r>
              <w:t xml:space="preserve">Pro zpracování </w:t>
            </w:r>
            <w:proofErr w:type="gramStart"/>
            <w:r>
              <w:t>3D</w:t>
            </w:r>
            <w:proofErr w:type="gramEnd"/>
            <w:r>
              <w:t xml:space="preserve"> rekonstrukcí možnost využití výkonu grafických karet v diagnostických stanicích a na serveru pro sdílení jejich výkonu pro více koncových zařízení – možnost definice priorit využití graf. karet na základě IP adres, apod.</w:t>
            </w:r>
          </w:p>
        </w:tc>
        <w:tc>
          <w:tcPr>
            <w:tcW w:w="1701" w:type="dxa"/>
            <w:vAlign w:val="center"/>
          </w:tcPr>
          <w:p w14:paraId="3479C41A" w14:textId="77777777" w:rsidR="00394A30" w:rsidRDefault="00394A30">
            <w:pPr>
              <w:jc w:val="center"/>
            </w:pPr>
          </w:p>
        </w:tc>
      </w:tr>
    </w:tbl>
    <w:p w14:paraId="3DD3D75C" w14:textId="77777777" w:rsidR="00394A30" w:rsidRDefault="00394A30"/>
    <w:p w14:paraId="02F9CB3A" w14:textId="77777777" w:rsidR="00394A30" w:rsidRDefault="00000000">
      <w:pPr>
        <w:pStyle w:val="Nadpis2"/>
        <w:numPr>
          <w:ilvl w:val="1"/>
          <w:numId w:val="1"/>
        </w:numPr>
      </w:pPr>
      <w:r>
        <w:t>Požadavky na PACS portál</w:t>
      </w:r>
    </w:p>
    <w:p w14:paraId="43F62BA3" w14:textId="77777777" w:rsidR="00394A30" w:rsidRDefault="00000000">
      <w:r>
        <w:t>Pro práci s vyšetřeními požadujeme webový portál, který umožní:</w:t>
      </w:r>
    </w:p>
    <w:tbl>
      <w:tblPr>
        <w:tblStyle w:val="a2"/>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66"/>
        <w:gridCol w:w="1701"/>
      </w:tblGrid>
      <w:tr w:rsidR="00394A30" w14:paraId="39C99B88" w14:textId="77777777">
        <w:tc>
          <w:tcPr>
            <w:tcW w:w="7366" w:type="dxa"/>
            <w:shd w:val="clear" w:color="auto" w:fill="D9D9D9"/>
          </w:tcPr>
          <w:p w14:paraId="55F4F591" w14:textId="77777777" w:rsidR="00394A30" w:rsidRDefault="00000000">
            <w:r>
              <w:t>Požadavek</w:t>
            </w:r>
          </w:p>
        </w:tc>
        <w:tc>
          <w:tcPr>
            <w:tcW w:w="1701" w:type="dxa"/>
            <w:shd w:val="clear" w:color="auto" w:fill="D9D9D9"/>
            <w:vAlign w:val="center"/>
          </w:tcPr>
          <w:p w14:paraId="317D94FE" w14:textId="77777777" w:rsidR="00394A30" w:rsidRDefault="00000000">
            <w:pPr>
              <w:jc w:val="center"/>
            </w:pPr>
            <w:r>
              <w:t>Splňuje ANO/NE</w:t>
            </w:r>
          </w:p>
        </w:tc>
      </w:tr>
      <w:tr w:rsidR="00394A30" w14:paraId="331D97E2" w14:textId="77777777">
        <w:tc>
          <w:tcPr>
            <w:tcW w:w="7366" w:type="dxa"/>
          </w:tcPr>
          <w:p w14:paraId="06608049" w14:textId="77777777" w:rsidR="00394A30" w:rsidRDefault="00000000">
            <w:r>
              <w:t>Multilicence pro neomezený počet uživatelů.</w:t>
            </w:r>
          </w:p>
        </w:tc>
        <w:tc>
          <w:tcPr>
            <w:tcW w:w="1701" w:type="dxa"/>
            <w:vAlign w:val="center"/>
          </w:tcPr>
          <w:p w14:paraId="3F2615C2" w14:textId="77777777" w:rsidR="00394A30" w:rsidRDefault="00394A30">
            <w:pPr>
              <w:jc w:val="center"/>
            </w:pPr>
          </w:p>
        </w:tc>
      </w:tr>
      <w:tr w:rsidR="00394A30" w14:paraId="5086E3DB" w14:textId="77777777">
        <w:tc>
          <w:tcPr>
            <w:tcW w:w="7366" w:type="dxa"/>
          </w:tcPr>
          <w:p w14:paraId="11587BDE" w14:textId="77777777" w:rsidR="00394A30" w:rsidRDefault="00000000">
            <w:r>
              <w:t>Seznam vyšetření uložených v PACS, vč. možnosti zobrazení detailu vyšetření, zobrazení vlastního vyšetření ve webovém DICOM prohlížeči a využití dále definovaných funkcí z detailu vyšetření, vyhledávání musí být možné min. podle následujících parametrů:</w:t>
            </w:r>
          </w:p>
          <w:p w14:paraId="0A94A10F" w14:textId="77777777" w:rsidR="00394A30" w:rsidRDefault="00000000">
            <w:pPr>
              <w:numPr>
                <w:ilvl w:val="0"/>
                <w:numId w:val="2"/>
              </w:numPr>
              <w:pBdr>
                <w:top w:val="nil"/>
                <w:left w:val="nil"/>
                <w:bottom w:val="nil"/>
                <w:right w:val="nil"/>
                <w:between w:val="nil"/>
              </w:pBdr>
              <w:spacing w:after="160" w:line="259" w:lineRule="auto"/>
            </w:pPr>
            <w:r>
              <w:rPr>
                <w:color w:val="000000"/>
              </w:rPr>
              <w:t>jméno pacienta, ID pacienta, číslo žádanky, typ modality, datum narození, od/do data vytvoření vyšetření.</w:t>
            </w:r>
          </w:p>
        </w:tc>
        <w:tc>
          <w:tcPr>
            <w:tcW w:w="1701" w:type="dxa"/>
            <w:vAlign w:val="center"/>
          </w:tcPr>
          <w:p w14:paraId="02F372C7" w14:textId="77777777" w:rsidR="00394A30" w:rsidRDefault="00394A30">
            <w:pPr>
              <w:jc w:val="center"/>
            </w:pPr>
          </w:p>
        </w:tc>
      </w:tr>
      <w:tr w:rsidR="00394A30" w14:paraId="268D7A82" w14:textId="77777777">
        <w:tc>
          <w:tcPr>
            <w:tcW w:w="7366" w:type="dxa"/>
          </w:tcPr>
          <w:p w14:paraId="61E01ECD" w14:textId="77777777" w:rsidR="00394A30" w:rsidRDefault="00000000">
            <w:r>
              <w:t>Uživatelské nastavení vyhledaných informací (definice zobrazených atributů, možnost uložení často využívaných vyhledávacích filtrů).</w:t>
            </w:r>
          </w:p>
        </w:tc>
        <w:tc>
          <w:tcPr>
            <w:tcW w:w="1701" w:type="dxa"/>
            <w:vAlign w:val="center"/>
          </w:tcPr>
          <w:p w14:paraId="6E0A91EF" w14:textId="77777777" w:rsidR="00394A30" w:rsidRDefault="00394A30">
            <w:pPr>
              <w:jc w:val="center"/>
            </w:pPr>
          </w:p>
        </w:tc>
      </w:tr>
      <w:tr w:rsidR="00394A30" w14:paraId="3A287035" w14:textId="77777777">
        <w:tc>
          <w:tcPr>
            <w:tcW w:w="7366" w:type="dxa"/>
          </w:tcPr>
          <w:p w14:paraId="1CA18A4C" w14:textId="77777777" w:rsidR="00394A30" w:rsidRDefault="00000000">
            <w:r>
              <w:lastRenderedPageBreak/>
              <w:t>Import DICOM dat s výběrem DICOM archivu, do kterého se importují data.</w:t>
            </w:r>
          </w:p>
        </w:tc>
        <w:tc>
          <w:tcPr>
            <w:tcW w:w="1701" w:type="dxa"/>
            <w:vAlign w:val="center"/>
          </w:tcPr>
          <w:p w14:paraId="7C433A81" w14:textId="77777777" w:rsidR="00394A30" w:rsidRDefault="00394A30">
            <w:pPr>
              <w:jc w:val="center"/>
            </w:pPr>
          </w:p>
        </w:tc>
      </w:tr>
      <w:tr w:rsidR="00394A30" w14:paraId="35A1BEA8" w14:textId="77777777">
        <w:tc>
          <w:tcPr>
            <w:tcW w:w="7366" w:type="dxa"/>
          </w:tcPr>
          <w:p w14:paraId="3C657925" w14:textId="77777777" w:rsidR="00394A30" w:rsidRDefault="00000000">
            <w:r>
              <w:t xml:space="preserve">Import ne-DICOM dat (min. JPG, PDF) s výběrem DICOM archivu, do kterého se importují data, </w:t>
            </w:r>
          </w:p>
          <w:p w14:paraId="1BE55CC1" w14:textId="77777777" w:rsidR="00394A30" w:rsidRDefault="00000000">
            <w:pPr>
              <w:numPr>
                <w:ilvl w:val="0"/>
                <w:numId w:val="2"/>
              </w:numPr>
              <w:pBdr>
                <w:top w:val="nil"/>
                <w:left w:val="nil"/>
                <w:bottom w:val="nil"/>
                <w:right w:val="nil"/>
                <w:between w:val="nil"/>
              </w:pBdr>
              <w:spacing w:line="259" w:lineRule="auto"/>
            </w:pPr>
            <w:r>
              <w:rPr>
                <w:color w:val="000000"/>
              </w:rPr>
              <w:t>součástí této funkce je vazba na seznam žádanek/</w:t>
            </w:r>
            <w:proofErr w:type="spellStart"/>
            <w:r>
              <w:rPr>
                <w:color w:val="000000"/>
              </w:rPr>
              <w:t>worklist</w:t>
            </w:r>
            <w:proofErr w:type="spellEnd"/>
            <w:r>
              <w:rPr>
                <w:color w:val="000000"/>
              </w:rPr>
              <w:t xml:space="preserve"> a možnost výběru žádanky pro převzetí pacientských údajů, které jsou nutné pro uložení dat do PACS archivu,</w:t>
            </w:r>
          </w:p>
          <w:p w14:paraId="4924298F" w14:textId="77777777" w:rsidR="00394A30" w:rsidRDefault="00000000">
            <w:pPr>
              <w:numPr>
                <w:ilvl w:val="0"/>
                <w:numId w:val="2"/>
              </w:numPr>
              <w:pBdr>
                <w:top w:val="nil"/>
                <w:left w:val="nil"/>
                <w:bottom w:val="nil"/>
                <w:right w:val="nil"/>
                <w:between w:val="nil"/>
              </w:pBdr>
              <w:spacing w:line="259" w:lineRule="auto"/>
            </w:pPr>
            <w:r>
              <w:rPr>
                <w:color w:val="000000"/>
              </w:rPr>
              <w:t>možnost vazby na centrální registr pacientů v PACS/NIS pro převzetí pacientských údajů, které jsou nutné pro uložení dat do PACS archivu,</w:t>
            </w:r>
          </w:p>
          <w:p w14:paraId="0B5B3DCD" w14:textId="77777777" w:rsidR="00394A30" w:rsidRDefault="00000000">
            <w:pPr>
              <w:numPr>
                <w:ilvl w:val="0"/>
                <w:numId w:val="2"/>
              </w:numPr>
              <w:pBdr>
                <w:top w:val="nil"/>
                <w:left w:val="nil"/>
                <w:bottom w:val="nil"/>
                <w:right w:val="nil"/>
                <w:between w:val="nil"/>
              </w:pBdr>
              <w:spacing w:after="160" w:line="259" w:lineRule="auto"/>
            </w:pPr>
            <w:r>
              <w:rPr>
                <w:color w:val="000000"/>
              </w:rPr>
              <w:t>součástí této funkce je možnost editace/oprava pacientských údajů před provedením vlastního importu.</w:t>
            </w:r>
          </w:p>
        </w:tc>
        <w:tc>
          <w:tcPr>
            <w:tcW w:w="1701" w:type="dxa"/>
            <w:vAlign w:val="center"/>
          </w:tcPr>
          <w:p w14:paraId="465E95B3" w14:textId="77777777" w:rsidR="00394A30" w:rsidRDefault="00394A30">
            <w:pPr>
              <w:jc w:val="center"/>
            </w:pPr>
          </w:p>
        </w:tc>
      </w:tr>
      <w:tr w:rsidR="00394A30" w14:paraId="22C62393" w14:textId="77777777">
        <w:tc>
          <w:tcPr>
            <w:tcW w:w="7366" w:type="dxa"/>
          </w:tcPr>
          <w:p w14:paraId="191C0993" w14:textId="77777777" w:rsidR="00394A30" w:rsidRDefault="00000000">
            <w:r>
              <w:t>Export vyšetření</w:t>
            </w:r>
          </w:p>
          <w:p w14:paraId="63A81E5F" w14:textId="77777777" w:rsidR="00394A30" w:rsidRDefault="00000000">
            <w:pPr>
              <w:numPr>
                <w:ilvl w:val="0"/>
                <w:numId w:val="2"/>
              </w:numPr>
              <w:pBdr>
                <w:top w:val="nil"/>
                <w:left w:val="nil"/>
                <w:bottom w:val="nil"/>
                <w:right w:val="nil"/>
                <w:between w:val="nil"/>
              </w:pBdr>
              <w:spacing w:line="259" w:lineRule="auto"/>
            </w:pPr>
            <w:r>
              <w:rPr>
                <w:color w:val="000000"/>
              </w:rPr>
              <w:t>formát JPG – v komprimované či nekomprimované podobě na úrovni snímek, série, studie,</w:t>
            </w:r>
          </w:p>
          <w:p w14:paraId="43A217C6" w14:textId="77777777" w:rsidR="00394A30" w:rsidRDefault="00000000">
            <w:pPr>
              <w:numPr>
                <w:ilvl w:val="0"/>
                <w:numId w:val="2"/>
              </w:numPr>
              <w:pBdr>
                <w:top w:val="nil"/>
                <w:left w:val="nil"/>
                <w:bottom w:val="nil"/>
                <w:right w:val="nil"/>
                <w:between w:val="nil"/>
              </w:pBdr>
              <w:spacing w:line="259" w:lineRule="auto"/>
            </w:pPr>
            <w:r>
              <w:rPr>
                <w:color w:val="000000"/>
              </w:rPr>
              <w:t>formát MP4 – v komprimované či nekomprimované podobě s možností nastavení FPS na úrovni snímek, série, studie,</w:t>
            </w:r>
          </w:p>
          <w:p w14:paraId="3C76EB09" w14:textId="77777777" w:rsidR="00394A30" w:rsidRDefault="00000000">
            <w:pPr>
              <w:numPr>
                <w:ilvl w:val="0"/>
                <w:numId w:val="2"/>
              </w:numPr>
              <w:pBdr>
                <w:top w:val="nil"/>
                <w:left w:val="nil"/>
                <w:bottom w:val="nil"/>
                <w:right w:val="nil"/>
                <w:between w:val="nil"/>
              </w:pBdr>
              <w:spacing w:after="160" w:line="259" w:lineRule="auto"/>
            </w:pPr>
            <w:r>
              <w:rPr>
                <w:color w:val="000000"/>
              </w:rPr>
              <w:t>formát DICOM – na úrovni snímek, série, studie,</w:t>
            </w:r>
          </w:p>
        </w:tc>
        <w:tc>
          <w:tcPr>
            <w:tcW w:w="1701" w:type="dxa"/>
            <w:vAlign w:val="center"/>
          </w:tcPr>
          <w:p w14:paraId="39238585" w14:textId="77777777" w:rsidR="00394A30" w:rsidRDefault="00394A30">
            <w:pPr>
              <w:jc w:val="center"/>
            </w:pPr>
          </w:p>
        </w:tc>
      </w:tr>
      <w:tr w:rsidR="00394A30" w14:paraId="2E1A8591" w14:textId="77777777">
        <w:tc>
          <w:tcPr>
            <w:tcW w:w="7366" w:type="dxa"/>
          </w:tcPr>
          <w:p w14:paraId="264F733B" w14:textId="77777777" w:rsidR="00394A30" w:rsidRDefault="00000000">
            <w:r>
              <w:t>Vypalování dat na CD/DVD vč. prohlížeče.</w:t>
            </w:r>
          </w:p>
        </w:tc>
        <w:tc>
          <w:tcPr>
            <w:tcW w:w="1701" w:type="dxa"/>
            <w:vAlign w:val="center"/>
          </w:tcPr>
          <w:p w14:paraId="51045415" w14:textId="77777777" w:rsidR="00394A30" w:rsidRDefault="00394A30">
            <w:pPr>
              <w:jc w:val="center"/>
            </w:pPr>
          </w:p>
        </w:tc>
      </w:tr>
      <w:tr w:rsidR="00394A30" w14:paraId="4BA8529F" w14:textId="77777777">
        <w:tc>
          <w:tcPr>
            <w:tcW w:w="7366" w:type="dxa"/>
          </w:tcPr>
          <w:p w14:paraId="4A82E0A5" w14:textId="77777777" w:rsidR="00394A30" w:rsidRDefault="00000000">
            <w:r>
              <w:t>Oprava demografických dat pacientů na úrovni pacient a na úrovni vyšetření. Na úrovni pacient je požadována oprava demografických údajů pacienta a následná oprava všech vyšetření daného pacienta. Na úrovni vyšetření je požadována oprava údajů ve vyšetření (min. jméno pacienta, ID pacienta, číslo žádanky, datum narození, pohlaví, datum vytvoření vyšetření, čas vytvoření vyšetření) - součástí této funkce je vazba na seznam žádanek/</w:t>
            </w:r>
            <w:proofErr w:type="spellStart"/>
            <w:r>
              <w:t>worklist</w:t>
            </w:r>
            <w:proofErr w:type="spellEnd"/>
            <w:r>
              <w:t xml:space="preserve"> a možnost výběru žádanky pro převzetí pacientských údajů, které jsou nutné pro uložení dat do PACS archivu.</w:t>
            </w:r>
          </w:p>
        </w:tc>
        <w:tc>
          <w:tcPr>
            <w:tcW w:w="1701" w:type="dxa"/>
            <w:vAlign w:val="center"/>
          </w:tcPr>
          <w:p w14:paraId="19F0F309" w14:textId="77777777" w:rsidR="00394A30" w:rsidRDefault="00394A30">
            <w:pPr>
              <w:jc w:val="center"/>
            </w:pPr>
          </w:p>
        </w:tc>
      </w:tr>
      <w:tr w:rsidR="00394A30" w14:paraId="1AD8634B" w14:textId="77777777">
        <w:tc>
          <w:tcPr>
            <w:tcW w:w="7366" w:type="dxa"/>
          </w:tcPr>
          <w:p w14:paraId="13767A00" w14:textId="77777777" w:rsidR="00394A30" w:rsidRDefault="00000000">
            <w:r>
              <w:t>Rozdělování vyšetření – rozdělení vyšetření a přesun vybraných sérií do nového vyšetření, součástí této funkce je vazba na seznam žádanek/</w:t>
            </w:r>
            <w:proofErr w:type="spellStart"/>
            <w:r>
              <w:t>worklist</w:t>
            </w:r>
            <w:proofErr w:type="spellEnd"/>
            <w:r>
              <w:t xml:space="preserve"> a možnost výběru žádanky pro převzetí pacientských údajů, které jsou nutné pro uložení dat do PACS archivu.</w:t>
            </w:r>
          </w:p>
        </w:tc>
        <w:tc>
          <w:tcPr>
            <w:tcW w:w="1701" w:type="dxa"/>
            <w:vAlign w:val="center"/>
          </w:tcPr>
          <w:p w14:paraId="43331C7B" w14:textId="77777777" w:rsidR="00394A30" w:rsidRDefault="00394A30">
            <w:pPr>
              <w:jc w:val="center"/>
            </w:pPr>
          </w:p>
        </w:tc>
      </w:tr>
      <w:tr w:rsidR="00394A30" w14:paraId="535223A8" w14:textId="77777777">
        <w:tc>
          <w:tcPr>
            <w:tcW w:w="7366" w:type="dxa"/>
          </w:tcPr>
          <w:p w14:paraId="7A65E818" w14:textId="77777777" w:rsidR="00394A30" w:rsidRDefault="00000000">
            <w:r>
              <w:t>Přeskupení vyšetření – přesun vybraných sérií mezi různými vyšetřeními.</w:t>
            </w:r>
          </w:p>
        </w:tc>
        <w:tc>
          <w:tcPr>
            <w:tcW w:w="1701" w:type="dxa"/>
            <w:vAlign w:val="center"/>
          </w:tcPr>
          <w:p w14:paraId="3285D53C" w14:textId="77777777" w:rsidR="00394A30" w:rsidRDefault="00394A30">
            <w:pPr>
              <w:jc w:val="center"/>
            </w:pPr>
          </w:p>
        </w:tc>
      </w:tr>
      <w:tr w:rsidR="00394A30" w14:paraId="69E8F602" w14:textId="77777777">
        <w:tc>
          <w:tcPr>
            <w:tcW w:w="7366" w:type="dxa"/>
          </w:tcPr>
          <w:p w14:paraId="112EBB1A" w14:textId="77777777" w:rsidR="00394A30" w:rsidRDefault="00000000">
            <w:r>
              <w:t>Přesun dat mezi různými (připojenými) DICOM uzly – možnost přesunu nebo kopírování vyšetření nebo pouze jednotlivých sérií mezi připojenými DICOM uzly.</w:t>
            </w:r>
          </w:p>
        </w:tc>
        <w:tc>
          <w:tcPr>
            <w:tcW w:w="1701" w:type="dxa"/>
            <w:vAlign w:val="center"/>
          </w:tcPr>
          <w:p w14:paraId="48CC8A78" w14:textId="77777777" w:rsidR="00394A30" w:rsidRDefault="00394A30">
            <w:pPr>
              <w:jc w:val="center"/>
            </w:pPr>
          </w:p>
        </w:tc>
      </w:tr>
      <w:tr w:rsidR="00394A30" w14:paraId="4EDBD4EA" w14:textId="77777777">
        <w:tc>
          <w:tcPr>
            <w:tcW w:w="7366" w:type="dxa"/>
          </w:tcPr>
          <w:p w14:paraId="29329174" w14:textId="77777777" w:rsidR="00394A30" w:rsidRDefault="00000000">
            <w:r>
              <w:t xml:space="preserve">Možnost odesílání dat přes </w:t>
            </w:r>
            <w:proofErr w:type="spellStart"/>
            <w:r>
              <w:t>ePACS</w:t>
            </w:r>
            <w:proofErr w:type="spellEnd"/>
            <w:r>
              <w:t xml:space="preserve">, </w:t>
            </w:r>
            <w:proofErr w:type="spellStart"/>
            <w:r>
              <w:t>ReDiMed</w:t>
            </w:r>
            <w:proofErr w:type="spellEnd"/>
            <w:r>
              <w:t>, vč. výběru sítě, přes kterou se data posílají, možnost rychlého hledání v seznamu příjemců, možnost uživatelské definice oblíbených cílových uzlů, možnost odeslání vyšetření vč. nálezu, možnost odeslání na více uzlů zároveň.</w:t>
            </w:r>
          </w:p>
        </w:tc>
        <w:tc>
          <w:tcPr>
            <w:tcW w:w="1701" w:type="dxa"/>
            <w:vAlign w:val="center"/>
          </w:tcPr>
          <w:p w14:paraId="1402EA1B" w14:textId="77777777" w:rsidR="00394A30" w:rsidRDefault="00394A30">
            <w:pPr>
              <w:jc w:val="center"/>
            </w:pPr>
          </w:p>
        </w:tc>
      </w:tr>
      <w:tr w:rsidR="00394A30" w14:paraId="2ABE1F27" w14:textId="77777777">
        <w:tc>
          <w:tcPr>
            <w:tcW w:w="7366" w:type="dxa"/>
          </w:tcPr>
          <w:p w14:paraId="6283FD4E" w14:textId="77777777" w:rsidR="00394A30" w:rsidRDefault="00000000">
            <w:r>
              <w:t>Zobrazení historie odeslaných dat přes výměnné sítě, vč. zobrazení detailních informací (kdo, kdy, co, kam odeslal).</w:t>
            </w:r>
          </w:p>
        </w:tc>
        <w:tc>
          <w:tcPr>
            <w:tcW w:w="1701" w:type="dxa"/>
            <w:vAlign w:val="center"/>
          </w:tcPr>
          <w:p w14:paraId="7C99938A" w14:textId="77777777" w:rsidR="00394A30" w:rsidRDefault="00394A30">
            <w:pPr>
              <w:jc w:val="center"/>
            </w:pPr>
          </w:p>
        </w:tc>
      </w:tr>
      <w:tr w:rsidR="00394A30" w14:paraId="570AB49F" w14:textId="77777777">
        <w:tc>
          <w:tcPr>
            <w:tcW w:w="7366" w:type="dxa"/>
          </w:tcPr>
          <w:p w14:paraId="5ABDE51F" w14:textId="77777777" w:rsidR="00394A30" w:rsidRDefault="00000000">
            <w:r>
              <w:t>Možnost výběru vyšetření pro zachování ve vybraném připojeném DICOM archivu, který má nastavené automatické odmazávání (např. uchování dat v odděleném obrazovém archivu pro data z externích zdrojů).</w:t>
            </w:r>
          </w:p>
        </w:tc>
        <w:tc>
          <w:tcPr>
            <w:tcW w:w="1701" w:type="dxa"/>
            <w:vAlign w:val="center"/>
          </w:tcPr>
          <w:p w14:paraId="420BBAD1" w14:textId="77777777" w:rsidR="00394A30" w:rsidRDefault="00394A30">
            <w:pPr>
              <w:jc w:val="center"/>
            </w:pPr>
          </w:p>
        </w:tc>
      </w:tr>
      <w:tr w:rsidR="00394A30" w14:paraId="73D1D7B0" w14:textId="77777777">
        <w:tc>
          <w:tcPr>
            <w:tcW w:w="7366" w:type="dxa"/>
          </w:tcPr>
          <w:p w14:paraId="50C029A7" w14:textId="77777777" w:rsidR="00394A30" w:rsidRDefault="00000000">
            <w:r>
              <w:t>Anonymizace dat – možnost manuální nebo automatické anonymizace pacientských údajů, anonymizace musí být dostupná min. u funkcí pro export, odesílání dat, kopírování, přesun.</w:t>
            </w:r>
          </w:p>
        </w:tc>
        <w:tc>
          <w:tcPr>
            <w:tcW w:w="1701" w:type="dxa"/>
            <w:vAlign w:val="center"/>
          </w:tcPr>
          <w:p w14:paraId="770AC91A" w14:textId="77777777" w:rsidR="00394A30" w:rsidRDefault="00394A30">
            <w:pPr>
              <w:jc w:val="center"/>
            </w:pPr>
          </w:p>
        </w:tc>
      </w:tr>
      <w:tr w:rsidR="00394A30" w14:paraId="618EF131" w14:textId="77777777">
        <w:tc>
          <w:tcPr>
            <w:tcW w:w="7366" w:type="dxa"/>
          </w:tcPr>
          <w:p w14:paraId="544C74D8" w14:textId="77777777" w:rsidR="00394A30" w:rsidRDefault="00000000">
            <w:r>
              <w:t>Smazání celého vyšetření nebo pouze vybrané série, součástí této funkce je následný přesun smazaného vyšetření do koše, který se bude automaticky odmazávat po předem definované době.</w:t>
            </w:r>
          </w:p>
        </w:tc>
        <w:tc>
          <w:tcPr>
            <w:tcW w:w="1701" w:type="dxa"/>
            <w:vAlign w:val="center"/>
          </w:tcPr>
          <w:p w14:paraId="142B70B1" w14:textId="77777777" w:rsidR="00394A30" w:rsidRDefault="00394A30">
            <w:pPr>
              <w:jc w:val="center"/>
            </w:pPr>
          </w:p>
        </w:tc>
      </w:tr>
      <w:tr w:rsidR="00394A30" w14:paraId="2E234890" w14:textId="77777777">
        <w:tc>
          <w:tcPr>
            <w:tcW w:w="7366" w:type="dxa"/>
          </w:tcPr>
          <w:p w14:paraId="43C7DC29" w14:textId="77777777" w:rsidR="00394A30" w:rsidRDefault="00000000">
            <w:r>
              <w:lastRenderedPageBreak/>
              <w:t>Zobrazen nálezu z NIS v detailu vyšetření.</w:t>
            </w:r>
          </w:p>
        </w:tc>
        <w:tc>
          <w:tcPr>
            <w:tcW w:w="1701" w:type="dxa"/>
            <w:vAlign w:val="center"/>
          </w:tcPr>
          <w:p w14:paraId="6555F84B" w14:textId="77777777" w:rsidR="00394A30" w:rsidRDefault="00394A30">
            <w:pPr>
              <w:jc w:val="center"/>
            </w:pPr>
          </w:p>
        </w:tc>
      </w:tr>
      <w:tr w:rsidR="00394A30" w14:paraId="7222DBF8" w14:textId="77777777">
        <w:tc>
          <w:tcPr>
            <w:tcW w:w="7366" w:type="dxa"/>
          </w:tcPr>
          <w:p w14:paraId="1AA384B2" w14:textId="77777777" w:rsidR="00394A30" w:rsidRDefault="00000000">
            <w:r>
              <w:t>Přidání/doplnění snímků k vyšetření.</w:t>
            </w:r>
          </w:p>
        </w:tc>
        <w:tc>
          <w:tcPr>
            <w:tcW w:w="1701" w:type="dxa"/>
            <w:vAlign w:val="center"/>
          </w:tcPr>
          <w:p w14:paraId="0E2665FA" w14:textId="77777777" w:rsidR="00394A30" w:rsidRDefault="00394A30">
            <w:pPr>
              <w:jc w:val="center"/>
            </w:pPr>
          </w:p>
        </w:tc>
      </w:tr>
      <w:tr w:rsidR="00394A30" w14:paraId="7C3FCB6C" w14:textId="77777777">
        <w:tc>
          <w:tcPr>
            <w:tcW w:w="7366" w:type="dxa"/>
          </w:tcPr>
          <w:p w14:paraId="3E5DA31E" w14:textId="77777777" w:rsidR="00394A30" w:rsidRDefault="00000000">
            <w:r>
              <w:t>Tvorba složek a pracovních seznamů s podporou těchto funkcionalit:</w:t>
            </w:r>
          </w:p>
          <w:p w14:paraId="294790A3" w14:textId="77777777" w:rsidR="00394A30" w:rsidRDefault="00000000">
            <w:pPr>
              <w:numPr>
                <w:ilvl w:val="0"/>
                <w:numId w:val="2"/>
              </w:numPr>
              <w:pBdr>
                <w:top w:val="nil"/>
                <w:left w:val="nil"/>
                <w:bottom w:val="nil"/>
                <w:right w:val="nil"/>
                <w:between w:val="nil"/>
              </w:pBdr>
              <w:spacing w:line="259" w:lineRule="auto"/>
            </w:pPr>
            <w:r>
              <w:rPr>
                <w:color w:val="000000"/>
              </w:rPr>
              <w:t>vytváření nových seznamů/složek, nastavení přístupových práv dle jednotlivých uživatelů nebo skupin uživatelů, např. pro účely indikačních komisí, konsilií, vizit apod.</w:t>
            </w:r>
          </w:p>
          <w:p w14:paraId="398495C8" w14:textId="77777777" w:rsidR="00394A30" w:rsidRDefault="00000000">
            <w:pPr>
              <w:numPr>
                <w:ilvl w:val="0"/>
                <w:numId w:val="2"/>
              </w:numPr>
              <w:pBdr>
                <w:top w:val="nil"/>
                <w:left w:val="nil"/>
                <w:bottom w:val="nil"/>
                <w:right w:val="nil"/>
                <w:between w:val="nil"/>
              </w:pBdr>
              <w:spacing w:line="259" w:lineRule="auto"/>
            </w:pPr>
            <w:r>
              <w:rPr>
                <w:color w:val="000000"/>
              </w:rPr>
              <w:t>možnost uživatelem přiřazovat vyšetření do složek a pracovních seznamů, ke kterým má zajištěn přístup.</w:t>
            </w:r>
          </w:p>
          <w:p w14:paraId="2E72E7F5" w14:textId="77777777" w:rsidR="00394A30" w:rsidRDefault="00000000">
            <w:pPr>
              <w:numPr>
                <w:ilvl w:val="0"/>
                <w:numId w:val="2"/>
              </w:numPr>
              <w:pBdr>
                <w:top w:val="nil"/>
                <w:left w:val="nil"/>
                <w:bottom w:val="nil"/>
                <w:right w:val="nil"/>
                <w:between w:val="nil"/>
              </w:pBdr>
              <w:spacing w:after="160" w:line="259" w:lineRule="auto"/>
            </w:pPr>
            <w:r>
              <w:rPr>
                <w:color w:val="000000"/>
              </w:rPr>
              <w:t>možnost nastavení oprávnění uživatele k dané složce nebo pracovnímu seznamu.</w:t>
            </w:r>
          </w:p>
        </w:tc>
        <w:tc>
          <w:tcPr>
            <w:tcW w:w="1701" w:type="dxa"/>
            <w:vAlign w:val="center"/>
          </w:tcPr>
          <w:p w14:paraId="093974BA" w14:textId="77777777" w:rsidR="00394A30" w:rsidRDefault="00394A30">
            <w:pPr>
              <w:jc w:val="center"/>
            </w:pPr>
          </w:p>
        </w:tc>
      </w:tr>
      <w:tr w:rsidR="00394A30" w14:paraId="7A6C25BA" w14:textId="77777777">
        <w:tc>
          <w:tcPr>
            <w:tcW w:w="7366" w:type="dxa"/>
          </w:tcPr>
          <w:p w14:paraId="366BF5DB" w14:textId="77777777" w:rsidR="00394A30" w:rsidRDefault="00000000">
            <w:r>
              <w:t>Možnost vytváření vzdáleného textového popisu vyšetření a jeho přenos do NIS (součinnosti dodavatele NIS zajistí případně Zadavatel).</w:t>
            </w:r>
          </w:p>
        </w:tc>
        <w:tc>
          <w:tcPr>
            <w:tcW w:w="1701" w:type="dxa"/>
            <w:vAlign w:val="center"/>
          </w:tcPr>
          <w:p w14:paraId="66C3A3B4" w14:textId="77777777" w:rsidR="00394A30" w:rsidRDefault="00394A30">
            <w:pPr>
              <w:jc w:val="center"/>
            </w:pPr>
          </w:p>
        </w:tc>
      </w:tr>
      <w:tr w:rsidR="00394A30" w14:paraId="0F52610B" w14:textId="77777777">
        <w:tc>
          <w:tcPr>
            <w:tcW w:w="7366" w:type="dxa"/>
          </w:tcPr>
          <w:p w14:paraId="21F03BA5" w14:textId="77777777" w:rsidR="00394A30" w:rsidRDefault="00000000">
            <w:r>
              <w:t>Podpora zobrazení a vytváření DICOM SR (</w:t>
            </w:r>
            <w:proofErr w:type="spellStart"/>
            <w:r>
              <w:t>Structured</w:t>
            </w:r>
            <w:proofErr w:type="spellEnd"/>
            <w:r>
              <w:t xml:space="preserve"> Report), vč. možnosti vytváření SR dle předdefinovaných textů.</w:t>
            </w:r>
          </w:p>
        </w:tc>
        <w:tc>
          <w:tcPr>
            <w:tcW w:w="1701" w:type="dxa"/>
            <w:vAlign w:val="center"/>
          </w:tcPr>
          <w:p w14:paraId="182CF226" w14:textId="77777777" w:rsidR="00394A30" w:rsidRDefault="00394A30">
            <w:pPr>
              <w:jc w:val="center"/>
            </w:pPr>
          </w:p>
        </w:tc>
      </w:tr>
      <w:tr w:rsidR="00394A30" w14:paraId="36B74810" w14:textId="77777777">
        <w:tc>
          <w:tcPr>
            <w:tcW w:w="7366" w:type="dxa"/>
          </w:tcPr>
          <w:p w14:paraId="6661902D" w14:textId="77777777" w:rsidR="00394A30" w:rsidRDefault="00000000">
            <w:r>
              <w:t xml:space="preserve">Práce s dávkami </w:t>
            </w:r>
            <w:proofErr w:type="gramStart"/>
            <w:r>
              <w:t>ozáření - možnost</w:t>
            </w:r>
            <w:proofErr w:type="gramEnd"/>
            <w:r>
              <w:t xml:space="preserve"> exportu dávek a zobrazení definovaných expozičních parametrů.</w:t>
            </w:r>
          </w:p>
        </w:tc>
        <w:tc>
          <w:tcPr>
            <w:tcW w:w="1701" w:type="dxa"/>
            <w:vAlign w:val="center"/>
          </w:tcPr>
          <w:p w14:paraId="47E4FC7E" w14:textId="77777777" w:rsidR="00394A30" w:rsidRDefault="00394A30">
            <w:pPr>
              <w:jc w:val="center"/>
            </w:pPr>
          </w:p>
        </w:tc>
      </w:tr>
      <w:tr w:rsidR="00394A30" w14:paraId="0DE52AE3" w14:textId="77777777">
        <w:tc>
          <w:tcPr>
            <w:tcW w:w="7366" w:type="dxa"/>
          </w:tcPr>
          <w:p w14:paraId="305462EF" w14:textId="77777777" w:rsidR="00394A30" w:rsidRDefault="00000000">
            <w:r>
              <w:t>Zobrazení žádanek z MWL a jejich případná editace.</w:t>
            </w:r>
          </w:p>
        </w:tc>
        <w:tc>
          <w:tcPr>
            <w:tcW w:w="1701" w:type="dxa"/>
            <w:vAlign w:val="center"/>
          </w:tcPr>
          <w:p w14:paraId="30642B7D" w14:textId="77777777" w:rsidR="00394A30" w:rsidRDefault="00394A30">
            <w:pPr>
              <w:jc w:val="center"/>
            </w:pPr>
          </w:p>
        </w:tc>
      </w:tr>
      <w:tr w:rsidR="00394A30" w14:paraId="20F61782" w14:textId="77777777">
        <w:tc>
          <w:tcPr>
            <w:tcW w:w="7366" w:type="dxa"/>
          </w:tcPr>
          <w:p w14:paraId="2BAAFD17" w14:textId="77777777" w:rsidR="00394A30" w:rsidRDefault="00000000">
            <w:r>
              <w:t>Zobrazení seznamu všech akcí, vč. zobrazení jejich stavu (ne/provedeno, probíhá apod.) a detailních informací o každé akci (autor, čas, typ akce, …).</w:t>
            </w:r>
          </w:p>
        </w:tc>
        <w:tc>
          <w:tcPr>
            <w:tcW w:w="1701" w:type="dxa"/>
            <w:vAlign w:val="center"/>
          </w:tcPr>
          <w:p w14:paraId="59BC1ECA" w14:textId="77777777" w:rsidR="00394A30" w:rsidRDefault="00394A30">
            <w:pPr>
              <w:jc w:val="center"/>
            </w:pPr>
          </w:p>
        </w:tc>
      </w:tr>
      <w:tr w:rsidR="00394A30" w14:paraId="4DC74F30" w14:textId="77777777">
        <w:tc>
          <w:tcPr>
            <w:tcW w:w="7366" w:type="dxa"/>
          </w:tcPr>
          <w:p w14:paraId="1BF08DD3" w14:textId="77777777" w:rsidR="00394A30" w:rsidRDefault="00000000">
            <w:r>
              <w:t>Systém notifikací – uživatelské notifikace informující uživatele o stavu provedené akce, možnost zobrazení detailních informací.</w:t>
            </w:r>
          </w:p>
        </w:tc>
        <w:tc>
          <w:tcPr>
            <w:tcW w:w="1701" w:type="dxa"/>
            <w:vAlign w:val="center"/>
          </w:tcPr>
          <w:p w14:paraId="767DA8F2" w14:textId="77777777" w:rsidR="00394A30" w:rsidRDefault="00394A30">
            <w:pPr>
              <w:jc w:val="center"/>
            </w:pPr>
          </w:p>
        </w:tc>
      </w:tr>
      <w:tr w:rsidR="00394A30" w14:paraId="3A7C00A6" w14:textId="77777777">
        <w:tc>
          <w:tcPr>
            <w:tcW w:w="7366" w:type="dxa"/>
          </w:tcPr>
          <w:p w14:paraId="7235C744" w14:textId="77777777" w:rsidR="00394A30" w:rsidRDefault="00000000">
            <w:r>
              <w:t>Možnost centrální správy přístupových práv uživatelů (dle rolí) a vytváření uživatelských skupin pro přístup k jednotlivým funkcím uvedeným výše.</w:t>
            </w:r>
          </w:p>
        </w:tc>
        <w:tc>
          <w:tcPr>
            <w:tcW w:w="1701" w:type="dxa"/>
            <w:vAlign w:val="center"/>
          </w:tcPr>
          <w:p w14:paraId="142A6BF3" w14:textId="77777777" w:rsidR="00394A30" w:rsidRDefault="00394A30">
            <w:pPr>
              <w:jc w:val="center"/>
            </w:pPr>
          </w:p>
        </w:tc>
      </w:tr>
      <w:tr w:rsidR="00394A30" w14:paraId="62A33DE9" w14:textId="77777777">
        <w:tc>
          <w:tcPr>
            <w:tcW w:w="7366" w:type="dxa"/>
          </w:tcPr>
          <w:p w14:paraId="4231C30F" w14:textId="77777777" w:rsidR="00394A30" w:rsidRDefault="00000000">
            <w:r>
              <w:t xml:space="preserve">Možnost autentizace uživatelů při spouštění prostřednictvím </w:t>
            </w:r>
            <w:proofErr w:type="spellStart"/>
            <w:r>
              <w:t>Active</w:t>
            </w:r>
            <w:proofErr w:type="spellEnd"/>
            <w:r>
              <w:t xml:space="preserve"> </w:t>
            </w:r>
            <w:proofErr w:type="spellStart"/>
            <w:r>
              <w:t>Directory</w:t>
            </w:r>
            <w:proofErr w:type="spellEnd"/>
            <w:r>
              <w:t xml:space="preserve"> / LDAP a řízení oprávnění na úrovni role a pracoviště uživatele.</w:t>
            </w:r>
          </w:p>
        </w:tc>
        <w:tc>
          <w:tcPr>
            <w:tcW w:w="1701" w:type="dxa"/>
            <w:vAlign w:val="center"/>
          </w:tcPr>
          <w:p w14:paraId="0A14FFBA" w14:textId="77777777" w:rsidR="00394A30" w:rsidRDefault="00394A30">
            <w:pPr>
              <w:jc w:val="center"/>
            </w:pPr>
          </w:p>
        </w:tc>
      </w:tr>
      <w:tr w:rsidR="00394A30" w14:paraId="3BC78F20" w14:textId="77777777">
        <w:tc>
          <w:tcPr>
            <w:tcW w:w="7366" w:type="dxa"/>
          </w:tcPr>
          <w:p w14:paraId="2B8B0E74" w14:textId="77777777" w:rsidR="00394A30" w:rsidRDefault="00000000">
            <w:r>
              <w:t>Technologie, která nevyžaduje instalaci doplňkových modulů do webového prohlížeče (například HTML5).</w:t>
            </w:r>
          </w:p>
        </w:tc>
        <w:tc>
          <w:tcPr>
            <w:tcW w:w="1701" w:type="dxa"/>
            <w:vAlign w:val="center"/>
          </w:tcPr>
          <w:p w14:paraId="10B646D2" w14:textId="77777777" w:rsidR="00394A30" w:rsidRDefault="00394A30">
            <w:pPr>
              <w:jc w:val="center"/>
            </w:pPr>
          </w:p>
        </w:tc>
      </w:tr>
      <w:tr w:rsidR="00394A30" w14:paraId="096BDFB7" w14:textId="77777777">
        <w:tc>
          <w:tcPr>
            <w:tcW w:w="7366" w:type="dxa"/>
          </w:tcPr>
          <w:p w14:paraId="71CA983D" w14:textId="77777777" w:rsidR="00394A30" w:rsidRDefault="00000000">
            <w:r>
              <w:t xml:space="preserve">Responsivní vzhled pro použití na jakémkoliv koncovém zařízení (tablet, chytrý telefon, </w:t>
            </w:r>
            <w:proofErr w:type="gramStart"/>
            <w:r>
              <w:t>stanice,</w:t>
            </w:r>
            <w:proofErr w:type="gramEnd"/>
            <w:r>
              <w:t xml:space="preserve"> atd.).</w:t>
            </w:r>
          </w:p>
        </w:tc>
        <w:tc>
          <w:tcPr>
            <w:tcW w:w="1701" w:type="dxa"/>
            <w:vAlign w:val="center"/>
          </w:tcPr>
          <w:p w14:paraId="043F3F4B" w14:textId="77777777" w:rsidR="00394A30" w:rsidRDefault="00394A30">
            <w:pPr>
              <w:jc w:val="center"/>
            </w:pPr>
          </w:p>
        </w:tc>
      </w:tr>
      <w:tr w:rsidR="00394A30" w14:paraId="7FDE06A7" w14:textId="77777777">
        <w:tc>
          <w:tcPr>
            <w:tcW w:w="7366" w:type="dxa"/>
          </w:tcPr>
          <w:p w14:paraId="0A721D31" w14:textId="77777777" w:rsidR="00394A30" w:rsidRDefault="00000000">
            <w:r>
              <w:t>Integrace webového DICOM prohlížeče (obrazová dokumentace bude primárně zobrazena v prohlížeči s automatickým výběrem klinické či diagnostické verze prohlížeče dle oprávnění uživatelů).</w:t>
            </w:r>
          </w:p>
        </w:tc>
        <w:tc>
          <w:tcPr>
            <w:tcW w:w="1701" w:type="dxa"/>
            <w:vAlign w:val="center"/>
          </w:tcPr>
          <w:p w14:paraId="56D68CA2" w14:textId="77777777" w:rsidR="00394A30" w:rsidRDefault="00394A30">
            <w:pPr>
              <w:jc w:val="center"/>
            </w:pPr>
          </w:p>
        </w:tc>
      </w:tr>
      <w:tr w:rsidR="00394A30" w14:paraId="0B78FDE6" w14:textId="77777777">
        <w:tc>
          <w:tcPr>
            <w:tcW w:w="7366" w:type="dxa"/>
          </w:tcPr>
          <w:p w14:paraId="03B232C7" w14:textId="77777777" w:rsidR="00394A30" w:rsidRDefault="00000000">
            <w:r>
              <w:t>Uživatelská dokumentace dostupná jako součást prostředí portálu.</w:t>
            </w:r>
          </w:p>
        </w:tc>
        <w:tc>
          <w:tcPr>
            <w:tcW w:w="1701" w:type="dxa"/>
            <w:vAlign w:val="center"/>
          </w:tcPr>
          <w:p w14:paraId="6652A461" w14:textId="77777777" w:rsidR="00394A30" w:rsidRDefault="00394A30">
            <w:pPr>
              <w:jc w:val="center"/>
            </w:pPr>
          </w:p>
        </w:tc>
      </w:tr>
      <w:tr w:rsidR="00394A30" w14:paraId="522E3171" w14:textId="77777777">
        <w:tc>
          <w:tcPr>
            <w:tcW w:w="7366" w:type="dxa"/>
          </w:tcPr>
          <w:p w14:paraId="3BB1202B" w14:textId="77777777" w:rsidR="00394A30" w:rsidRDefault="00000000">
            <w:r>
              <w:t xml:space="preserve">Přístup administrátorů a uživatelů do systému je logován. Logy musí být možné předávat v dohodnuté struktuře do systémů třetích stran pro jejich další zpracování. Integrovaný prohlížeč logů pro jejich filtraci (uživatel, datum, </w:t>
            </w:r>
            <w:proofErr w:type="gramStart"/>
            <w:r>
              <w:t>vyšetření,</w:t>
            </w:r>
            <w:proofErr w:type="gramEnd"/>
            <w:r>
              <w:t xml:space="preserve"> apod.). Z auditního logu musí být patrné, kdo, kdy a jaký záznam nahlížel, případně jestli jej editoval.</w:t>
            </w:r>
          </w:p>
        </w:tc>
        <w:tc>
          <w:tcPr>
            <w:tcW w:w="1701" w:type="dxa"/>
            <w:vAlign w:val="center"/>
          </w:tcPr>
          <w:p w14:paraId="152BF3A1" w14:textId="77777777" w:rsidR="00394A30" w:rsidRDefault="00394A30">
            <w:pPr>
              <w:jc w:val="center"/>
            </w:pPr>
          </w:p>
        </w:tc>
      </w:tr>
    </w:tbl>
    <w:p w14:paraId="512BA09B" w14:textId="77777777" w:rsidR="00394A30" w:rsidRDefault="00394A30"/>
    <w:p w14:paraId="11BD2B02" w14:textId="77777777" w:rsidR="00394A30" w:rsidRDefault="00000000">
      <w:pPr>
        <w:pStyle w:val="Nadpis2"/>
        <w:numPr>
          <w:ilvl w:val="1"/>
          <w:numId w:val="1"/>
        </w:numPr>
      </w:pPr>
      <w:r>
        <w:t>Požadavky na HW</w:t>
      </w:r>
    </w:p>
    <w:p w14:paraId="2127B742" w14:textId="77777777" w:rsidR="00394A30" w:rsidRDefault="00000000">
      <w:pPr>
        <w:pStyle w:val="Nadpis3"/>
        <w:numPr>
          <w:ilvl w:val="2"/>
          <w:numId w:val="1"/>
        </w:numPr>
      </w:pPr>
      <w:r>
        <w:t>Servery a datová úložiště</w:t>
      </w:r>
    </w:p>
    <w:p w14:paraId="0BAE160D" w14:textId="77777777" w:rsidR="00394A30" w:rsidRDefault="00000000">
      <w:r>
        <w:t>Zadavatel požaduje dodávku dvou 2U RACK serverů, každý minimálně v následující konfiguraci:</w:t>
      </w:r>
    </w:p>
    <w:tbl>
      <w:tblPr>
        <w:tblStyle w:val="a3"/>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66"/>
        <w:gridCol w:w="1701"/>
      </w:tblGrid>
      <w:tr w:rsidR="00394A30" w14:paraId="52E94199" w14:textId="77777777">
        <w:tc>
          <w:tcPr>
            <w:tcW w:w="7366" w:type="dxa"/>
            <w:shd w:val="clear" w:color="auto" w:fill="D9D9D9"/>
          </w:tcPr>
          <w:p w14:paraId="3090B79B" w14:textId="77777777" w:rsidR="00394A30" w:rsidRDefault="00000000">
            <w:r>
              <w:t>Požadavek</w:t>
            </w:r>
          </w:p>
        </w:tc>
        <w:tc>
          <w:tcPr>
            <w:tcW w:w="1701" w:type="dxa"/>
            <w:shd w:val="clear" w:color="auto" w:fill="D9D9D9"/>
            <w:vAlign w:val="center"/>
          </w:tcPr>
          <w:p w14:paraId="3AE088B4" w14:textId="77777777" w:rsidR="00394A30" w:rsidRDefault="00000000">
            <w:pPr>
              <w:jc w:val="center"/>
            </w:pPr>
            <w:r>
              <w:t>Splňuje ANO/NE</w:t>
            </w:r>
          </w:p>
        </w:tc>
      </w:tr>
      <w:tr w:rsidR="00394A30" w14:paraId="58F91CFD" w14:textId="77777777">
        <w:tc>
          <w:tcPr>
            <w:tcW w:w="7366" w:type="dxa"/>
          </w:tcPr>
          <w:p w14:paraId="59866D1D" w14:textId="77777777" w:rsidR="00394A30" w:rsidRDefault="00000000">
            <w:r>
              <w:t>Možnost osazení minimálně 12 LFF 3,5" SATA3/SAS3 hot-swap disky</w:t>
            </w:r>
          </w:p>
        </w:tc>
        <w:tc>
          <w:tcPr>
            <w:tcW w:w="1701" w:type="dxa"/>
            <w:vAlign w:val="center"/>
          </w:tcPr>
          <w:p w14:paraId="1514C5E8" w14:textId="77777777" w:rsidR="00394A30" w:rsidRDefault="00394A30">
            <w:pPr>
              <w:jc w:val="center"/>
            </w:pPr>
          </w:p>
        </w:tc>
      </w:tr>
      <w:tr w:rsidR="00394A30" w14:paraId="6C448E22" w14:textId="77777777">
        <w:tc>
          <w:tcPr>
            <w:tcW w:w="7366" w:type="dxa"/>
          </w:tcPr>
          <w:p w14:paraId="67D9E93A" w14:textId="77777777" w:rsidR="00394A30" w:rsidRDefault="00000000">
            <w:r>
              <w:t>1x CPU (minimálně fyzických 16 jader)</w:t>
            </w:r>
          </w:p>
        </w:tc>
        <w:tc>
          <w:tcPr>
            <w:tcW w:w="1701" w:type="dxa"/>
            <w:vAlign w:val="center"/>
          </w:tcPr>
          <w:p w14:paraId="2DD555AD" w14:textId="77777777" w:rsidR="00394A30" w:rsidRDefault="00394A30">
            <w:pPr>
              <w:jc w:val="center"/>
            </w:pPr>
          </w:p>
        </w:tc>
      </w:tr>
      <w:tr w:rsidR="00394A30" w14:paraId="27F20CC4" w14:textId="77777777">
        <w:tc>
          <w:tcPr>
            <w:tcW w:w="7366" w:type="dxa"/>
          </w:tcPr>
          <w:p w14:paraId="1D0DA8B6" w14:textId="77777777" w:rsidR="00394A30" w:rsidRDefault="00000000">
            <w:r>
              <w:lastRenderedPageBreak/>
              <w:t>128 GB RAM</w:t>
            </w:r>
          </w:p>
        </w:tc>
        <w:tc>
          <w:tcPr>
            <w:tcW w:w="1701" w:type="dxa"/>
            <w:vAlign w:val="center"/>
          </w:tcPr>
          <w:p w14:paraId="300E196C" w14:textId="77777777" w:rsidR="00394A30" w:rsidRDefault="00394A30">
            <w:pPr>
              <w:jc w:val="center"/>
            </w:pPr>
          </w:p>
        </w:tc>
      </w:tr>
      <w:tr w:rsidR="00394A30" w14:paraId="79334B21" w14:textId="77777777">
        <w:tc>
          <w:tcPr>
            <w:tcW w:w="7366" w:type="dxa"/>
          </w:tcPr>
          <w:p w14:paraId="0BE08E74" w14:textId="77777777" w:rsidR="00394A30" w:rsidRDefault="00000000">
            <w:r>
              <w:t>2x 1GbE LAN</w:t>
            </w:r>
          </w:p>
        </w:tc>
        <w:tc>
          <w:tcPr>
            <w:tcW w:w="1701" w:type="dxa"/>
            <w:vAlign w:val="center"/>
          </w:tcPr>
          <w:p w14:paraId="40C5A40D" w14:textId="77777777" w:rsidR="00394A30" w:rsidRDefault="00394A30">
            <w:pPr>
              <w:jc w:val="center"/>
            </w:pPr>
          </w:p>
        </w:tc>
      </w:tr>
      <w:tr w:rsidR="00394A30" w14:paraId="7F0D046B" w14:textId="77777777">
        <w:tc>
          <w:tcPr>
            <w:tcW w:w="7366" w:type="dxa"/>
          </w:tcPr>
          <w:p w14:paraId="3FD62AF9" w14:textId="77777777" w:rsidR="00394A30" w:rsidRDefault="00000000">
            <w:r>
              <w:t>2x 10GbE LAN</w:t>
            </w:r>
          </w:p>
        </w:tc>
        <w:tc>
          <w:tcPr>
            <w:tcW w:w="1701" w:type="dxa"/>
            <w:vAlign w:val="center"/>
          </w:tcPr>
          <w:p w14:paraId="163B6136" w14:textId="77777777" w:rsidR="00394A30" w:rsidRDefault="00394A30">
            <w:pPr>
              <w:jc w:val="center"/>
            </w:pPr>
          </w:p>
        </w:tc>
      </w:tr>
      <w:tr w:rsidR="00394A30" w14:paraId="29F0AA01" w14:textId="77777777">
        <w:tc>
          <w:tcPr>
            <w:tcW w:w="7366" w:type="dxa"/>
          </w:tcPr>
          <w:p w14:paraId="316F78BB" w14:textId="77777777" w:rsidR="00394A30" w:rsidRDefault="00000000">
            <w:r>
              <w:t>1x řadič RAID zálohovaný baterií</w:t>
            </w:r>
          </w:p>
        </w:tc>
        <w:tc>
          <w:tcPr>
            <w:tcW w:w="1701" w:type="dxa"/>
            <w:vAlign w:val="center"/>
          </w:tcPr>
          <w:p w14:paraId="1C775B27" w14:textId="77777777" w:rsidR="00394A30" w:rsidRDefault="00394A30">
            <w:pPr>
              <w:jc w:val="center"/>
            </w:pPr>
          </w:p>
        </w:tc>
      </w:tr>
      <w:tr w:rsidR="00394A30" w14:paraId="76CC6263" w14:textId="77777777">
        <w:tc>
          <w:tcPr>
            <w:tcW w:w="7366" w:type="dxa"/>
          </w:tcPr>
          <w:p w14:paraId="10B6C31B" w14:textId="77777777" w:rsidR="00394A30" w:rsidRDefault="00000000">
            <w:r>
              <w:t>2x SATA DOM 128 GB na operační systém</w:t>
            </w:r>
          </w:p>
        </w:tc>
        <w:tc>
          <w:tcPr>
            <w:tcW w:w="1701" w:type="dxa"/>
            <w:vAlign w:val="center"/>
          </w:tcPr>
          <w:p w14:paraId="4E679503" w14:textId="77777777" w:rsidR="00394A30" w:rsidRDefault="00394A30">
            <w:pPr>
              <w:jc w:val="center"/>
            </w:pPr>
          </w:p>
        </w:tc>
      </w:tr>
      <w:tr w:rsidR="00394A30" w14:paraId="254F1206" w14:textId="77777777">
        <w:tc>
          <w:tcPr>
            <w:tcW w:w="7366" w:type="dxa"/>
          </w:tcPr>
          <w:p w14:paraId="19E7690D" w14:textId="77777777" w:rsidR="00394A30" w:rsidRDefault="00000000">
            <w:r>
              <w:t>4x SSD 1,92 TB</w:t>
            </w:r>
          </w:p>
        </w:tc>
        <w:tc>
          <w:tcPr>
            <w:tcW w:w="1701" w:type="dxa"/>
            <w:vAlign w:val="center"/>
          </w:tcPr>
          <w:p w14:paraId="5DB5DF94" w14:textId="77777777" w:rsidR="00394A30" w:rsidRDefault="00394A30">
            <w:pPr>
              <w:jc w:val="center"/>
            </w:pPr>
          </w:p>
        </w:tc>
      </w:tr>
      <w:tr w:rsidR="00394A30" w14:paraId="19458CB4" w14:textId="77777777">
        <w:tc>
          <w:tcPr>
            <w:tcW w:w="7366" w:type="dxa"/>
          </w:tcPr>
          <w:p w14:paraId="6573412D" w14:textId="77777777" w:rsidR="00394A30" w:rsidRDefault="00000000">
            <w:r>
              <w:t>HDD 72 TB čisté kapacity v RAID 6</w:t>
            </w:r>
          </w:p>
        </w:tc>
        <w:tc>
          <w:tcPr>
            <w:tcW w:w="1701" w:type="dxa"/>
            <w:vAlign w:val="center"/>
          </w:tcPr>
          <w:p w14:paraId="119842C0" w14:textId="77777777" w:rsidR="00394A30" w:rsidRDefault="00394A30">
            <w:pPr>
              <w:jc w:val="center"/>
            </w:pPr>
          </w:p>
        </w:tc>
      </w:tr>
      <w:tr w:rsidR="00394A30" w14:paraId="28B650AD" w14:textId="77777777">
        <w:tc>
          <w:tcPr>
            <w:tcW w:w="7366" w:type="dxa"/>
          </w:tcPr>
          <w:p w14:paraId="1C339DC6" w14:textId="77777777" w:rsidR="00394A30" w:rsidRDefault="00000000">
            <w:r>
              <w:t xml:space="preserve">1x samostatná grafická karta, paměť min. </w:t>
            </w:r>
            <w:proofErr w:type="gramStart"/>
            <w:r>
              <w:t>5GB</w:t>
            </w:r>
            <w:proofErr w:type="gramEnd"/>
          </w:p>
        </w:tc>
        <w:tc>
          <w:tcPr>
            <w:tcW w:w="1701" w:type="dxa"/>
            <w:vAlign w:val="center"/>
          </w:tcPr>
          <w:p w14:paraId="03387A3E" w14:textId="77777777" w:rsidR="00394A30" w:rsidRDefault="00394A30">
            <w:pPr>
              <w:jc w:val="center"/>
            </w:pPr>
          </w:p>
        </w:tc>
      </w:tr>
      <w:tr w:rsidR="00394A30" w14:paraId="215E15CD" w14:textId="77777777">
        <w:tc>
          <w:tcPr>
            <w:tcW w:w="7366" w:type="dxa"/>
          </w:tcPr>
          <w:p w14:paraId="7541C082" w14:textId="77777777" w:rsidR="00394A30" w:rsidRDefault="00000000">
            <w:r>
              <w:t>Redundantní napájecí zdroj</w:t>
            </w:r>
          </w:p>
        </w:tc>
        <w:tc>
          <w:tcPr>
            <w:tcW w:w="1701" w:type="dxa"/>
            <w:vAlign w:val="center"/>
          </w:tcPr>
          <w:p w14:paraId="76832CE4" w14:textId="77777777" w:rsidR="00394A30" w:rsidRDefault="00394A30">
            <w:pPr>
              <w:jc w:val="center"/>
            </w:pPr>
          </w:p>
        </w:tc>
      </w:tr>
      <w:tr w:rsidR="00394A30" w14:paraId="0ED09A04" w14:textId="77777777">
        <w:tc>
          <w:tcPr>
            <w:tcW w:w="7366" w:type="dxa"/>
          </w:tcPr>
          <w:p w14:paraId="31770D66" w14:textId="77777777" w:rsidR="00394A30" w:rsidRDefault="00000000">
            <w:r>
              <w:t>Komplexní vzdálená správa</w:t>
            </w:r>
          </w:p>
        </w:tc>
        <w:tc>
          <w:tcPr>
            <w:tcW w:w="1701" w:type="dxa"/>
            <w:vAlign w:val="center"/>
          </w:tcPr>
          <w:p w14:paraId="3F49D72C" w14:textId="77777777" w:rsidR="00394A30" w:rsidRDefault="00394A30">
            <w:pPr>
              <w:jc w:val="center"/>
            </w:pPr>
          </w:p>
        </w:tc>
      </w:tr>
      <w:tr w:rsidR="00394A30" w14:paraId="48A4F77C" w14:textId="77777777">
        <w:tc>
          <w:tcPr>
            <w:tcW w:w="7366" w:type="dxa"/>
          </w:tcPr>
          <w:p w14:paraId="73B1358F" w14:textId="77777777" w:rsidR="00394A30" w:rsidRDefault="00000000">
            <w:r>
              <w:t xml:space="preserve">Záruka 60 měsíců NBD </w:t>
            </w:r>
            <w:proofErr w:type="spellStart"/>
            <w:r>
              <w:t>onsite</w:t>
            </w:r>
            <w:proofErr w:type="spellEnd"/>
          </w:p>
        </w:tc>
        <w:tc>
          <w:tcPr>
            <w:tcW w:w="1701" w:type="dxa"/>
            <w:vAlign w:val="center"/>
          </w:tcPr>
          <w:p w14:paraId="7060B24C" w14:textId="77777777" w:rsidR="00394A30" w:rsidRDefault="00394A30">
            <w:pPr>
              <w:jc w:val="center"/>
            </w:pPr>
          </w:p>
        </w:tc>
      </w:tr>
      <w:tr w:rsidR="00394A30" w14:paraId="6E120E20" w14:textId="77777777">
        <w:tc>
          <w:tcPr>
            <w:tcW w:w="7366" w:type="dxa"/>
          </w:tcPr>
          <w:p w14:paraId="7BB71CD8" w14:textId="77777777" w:rsidR="00394A30" w:rsidRDefault="00000000">
            <w:r>
              <w:t>Dodávka včetně potřebného materiálu pro instalaci serverů do racku s možností přístupu k hardwaru serveru i tehdy, když je přímo nad serverem namontován další</w:t>
            </w:r>
          </w:p>
        </w:tc>
        <w:tc>
          <w:tcPr>
            <w:tcW w:w="1701" w:type="dxa"/>
            <w:vAlign w:val="center"/>
          </w:tcPr>
          <w:p w14:paraId="3ADA91A4" w14:textId="77777777" w:rsidR="00394A30" w:rsidRDefault="00394A30">
            <w:pPr>
              <w:jc w:val="center"/>
            </w:pPr>
          </w:p>
        </w:tc>
      </w:tr>
    </w:tbl>
    <w:p w14:paraId="45B4E1C1" w14:textId="77777777" w:rsidR="00394A30" w:rsidRDefault="00394A30"/>
    <w:p w14:paraId="474573F7" w14:textId="77777777" w:rsidR="00394A30" w:rsidRDefault="00000000">
      <w:pPr>
        <w:pStyle w:val="Nadpis3"/>
        <w:numPr>
          <w:ilvl w:val="2"/>
          <w:numId w:val="1"/>
        </w:numPr>
      </w:pPr>
      <w:r>
        <w:t>Diagnostické pracovní stanice 3MPix</w:t>
      </w:r>
    </w:p>
    <w:p w14:paraId="4E7EB62D" w14:textId="77777777" w:rsidR="00394A30" w:rsidRDefault="00000000">
      <w:r>
        <w:t>Zadavatel požaduje dodávku dvou diagnostických pracovních stanic, každé minimálně v následující konfiguraci:</w:t>
      </w:r>
    </w:p>
    <w:tbl>
      <w:tblPr>
        <w:tblStyle w:val="a4"/>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66"/>
        <w:gridCol w:w="1701"/>
      </w:tblGrid>
      <w:tr w:rsidR="00394A30" w14:paraId="529C221A" w14:textId="77777777">
        <w:tc>
          <w:tcPr>
            <w:tcW w:w="7366" w:type="dxa"/>
            <w:shd w:val="clear" w:color="auto" w:fill="D9D9D9"/>
          </w:tcPr>
          <w:p w14:paraId="6E1FC851" w14:textId="77777777" w:rsidR="00394A30" w:rsidRDefault="00000000">
            <w:r>
              <w:t>Požadavek</w:t>
            </w:r>
          </w:p>
        </w:tc>
        <w:tc>
          <w:tcPr>
            <w:tcW w:w="1701" w:type="dxa"/>
            <w:shd w:val="clear" w:color="auto" w:fill="D9D9D9"/>
            <w:vAlign w:val="center"/>
          </w:tcPr>
          <w:p w14:paraId="5454C1D0" w14:textId="77777777" w:rsidR="00394A30" w:rsidRDefault="00000000">
            <w:pPr>
              <w:jc w:val="center"/>
            </w:pPr>
            <w:r>
              <w:t>Splňuje ANO/NE</w:t>
            </w:r>
          </w:p>
        </w:tc>
      </w:tr>
      <w:tr w:rsidR="00394A30" w14:paraId="7180784F" w14:textId="77777777">
        <w:tc>
          <w:tcPr>
            <w:tcW w:w="7366" w:type="dxa"/>
          </w:tcPr>
          <w:p w14:paraId="4AD51B9B" w14:textId="77777777" w:rsidR="00394A30" w:rsidRDefault="00000000">
            <w:r>
              <w:t>1x PC</w:t>
            </w:r>
          </w:p>
          <w:p w14:paraId="6C90F32E" w14:textId="77777777" w:rsidR="00394A30" w:rsidRDefault="00000000">
            <w:pPr>
              <w:numPr>
                <w:ilvl w:val="0"/>
                <w:numId w:val="2"/>
              </w:numPr>
              <w:pBdr>
                <w:top w:val="nil"/>
                <w:left w:val="nil"/>
                <w:bottom w:val="nil"/>
                <w:right w:val="nil"/>
                <w:between w:val="nil"/>
              </w:pBdr>
              <w:spacing w:after="160" w:line="259" w:lineRule="auto"/>
            </w:pPr>
            <w:r>
              <w:rPr>
                <w:color w:val="000000"/>
              </w:rPr>
              <w:t xml:space="preserve">procesor Intel </w:t>
            </w:r>
            <w:proofErr w:type="spellStart"/>
            <w:r>
              <w:rPr>
                <w:color w:val="000000"/>
              </w:rPr>
              <w:t>Core</w:t>
            </w:r>
            <w:proofErr w:type="spellEnd"/>
            <w:r>
              <w:rPr>
                <w:color w:val="000000"/>
              </w:rPr>
              <w:t xml:space="preserve"> i7 nebo </w:t>
            </w:r>
            <w:proofErr w:type="gramStart"/>
            <w:r>
              <w:rPr>
                <w:color w:val="000000"/>
              </w:rPr>
              <w:t>ekvivalent(</w:t>
            </w:r>
            <w:proofErr w:type="gramEnd"/>
            <w:r>
              <w:t xml:space="preserve">min. výkonem 8000 bodů v  benchmarku </w:t>
            </w:r>
            <w:proofErr w:type="spellStart"/>
            <w:r>
              <w:t>PassMark</w:t>
            </w:r>
            <w:proofErr w:type="spellEnd"/>
            <w:r>
              <w:t>)</w:t>
            </w:r>
            <w:r>
              <w:rPr>
                <w:color w:val="000000"/>
              </w:rPr>
              <w:t xml:space="preserve">, min. 16GB RAM, min. 1x 512GB SSD </w:t>
            </w:r>
            <w:proofErr w:type="spellStart"/>
            <w:r>
              <w:rPr>
                <w:color w:val="000000"/>
              </w:rPr>
              <w:t>PCIe</w:t>
            </w:r>
            <w:proofErr w:type="spellEnd"/>
            <w:r>
              <w:rPr>
                <w:color w:val="000000"/>
              </w:rPr>
              <w:t xml:space="preserve"> M.2, DVD+/-RW DL, </w:t>
            </w:r>
            <w:proofErr w:type="spellStart"/>
            <w:r>
              <w:rPr>
                <w:color w:val="000000"/>
              </w:rPr>
              <w:t>Gbit</w:t>
            </w:r>
            <w:proofErr w:type="spellEnd"/>
            <w:r>
              <w:rPr>
                <w:color w:val="000000"/>
              </w:rPr>
              <w:t xml:space="preserve"> LAN, klávesnice + myš, MS Windows 10 Pro 64-bit, možnosti instalace klienta NIS/RIS a dalších aplikací (stanice není uzamčena).</w:t>
            </w:r>
          </w:p>
        </w:tc>
        <w:tc>
          <w:tcPr>
            <w:tcW w:w="1701" w:type="dxa"/>
            <w:vAlign w:val="center"/>
          </w:tcPr>
          <w:p w14:paraId="0FCE1ECE" w14:textId="77777777" w:rsidR="00394A30" w:rsidRDefault="00394A30">
            <w:pPr>
              <w:jc w:val="center"/>
            </w:pPr>
          </w:p>
        </w:tc>
      </w:tr>
      <w:tr w:rsidR="00394A30" w14:paraId="669EB778" w14:textId="77777777">
        <w:tc>
          <w:tcPr>
            <w:tcW w:w="7366" w:type="dxa"/>
          </w:tcPr>
          <w:p w14:paraId="689466BB" w14:textId="77777777" w:rsidR="00394A30" w:rsidRDefault="00000000">
            <w:r>
              <w:t>1x Grafická karta</w:t>
            </w:r>
          </w:p>
          <w:p w14:paraId="203613D7" w14:textId="77777777" w:rsidR="00394A30" w:rsidRDefault="00000000">
            <w:pPr>
              <w:numPr>
                <w:ilvl w:val="0"/>
                <w:numId w:val="2"/>
              </w:numPr>
              <w:pBdr>
                <w:top w:val="nil"/>
                <w:left w:val="nil"/>
                <w:bottom w:val="nil"/>
                <w:right w:val="nil"/>
                <w:between w:val="nil"/>
              </w:pBdr>
              <w:spacing w:after="160" w:line="259" w:lineRule="auto"/>
            </w:pPr>
            <w:r>
              <w:rPr>
                <w:color w:val="000000"/>
              </w:rPr>
              <w:t>dostatečná a kompatibilní vzhledem k požadovanému řešení</w:t>
            </w:r>
            <w:r>
              <w:t>, resp. s výstupy pro 2x diagnostický barevný monitor a pro náhledový monitor.</w:t>
            </w:r>
          </w:p>
          <w:p w14:paraId="55A3D4E7" w14:textId="77777777" w:rsidR="00394A30" w:rsidRDefault="00000000">
            <w:pPr>
              <w:numPr>
                <w:ilvl w:val="0"/>
                <w:numId w:val="2"/>
              </w:numPr>
              <w:pBdr>
                <w:top w:val="nil"/>
                <w:left w:val="nil"/>
                <w:bottom w:val="nil"/>
                <w:right w:val="nil"/>
                <w:between w:val="nil"/>
              </w:pBdr>
              <w:spacing w:after="160" w:line="259" w:lineRule="auto"/>
            </w:pPr>
            <w:r>
              <w:t>min. 2 GB VRAM</w:t>
            </w:r>
          </w:p>
        </w:tc>
        <w:tc>
          <w:tcPr>
            <w:tcW w:w="1701" w:type="dxa"/>
            <w:vAlign w:val="center"/>
          </w:tcPr>
          <w:p w14:paraId="092B8BCC" w14:textId="77777777" w:rsidR="00394A30" w:rsidRDefault="00394A30">
            <w:pPr>
              <w:jc w:val="center"/>
            </w:pPr>
          </w:p>
        </w:tc>
      </w:tr>
      <w:tr w:rsidR="00394A30" w14:paraId="3E656045" w14:textId="77777777">
        <w:tc>
          <w:tcPr>
            <w:tcW w:w="7366" w:type="dxa"/>
          </w:tcPr>
          <w:p w14:paraId="71F176CB" w14:textId="77777777" w:rsidR="00394A30" w:rsidRDefault="00000000">
            <w:r>
              <w:t>1x UPS</w:t>
            </w:r>
          </w:p>
          <w:p w14:paraId="576741C8" w14:textId="77777777" w:rsidR="00394A30" w:rsidRDefault="00000000">
            <w:pPr>
              <w:numPr>
                <w:ilvl w:val="0"/>
                <w:numId w:val="2"/>
              </w:numPr>
              <w:pBdr>
                <w:top w:val="nil"/>
                <w:left w:val="nil"/>
                <w:bottom w:val="nil"/>
                <w:right w:val="nil"/>
                <w:between w:val="nil"/>
              </w:pBdr>
              <w:spacing w:after="160" w:line="259" w:lineRule="auto"/>
            </w:pPr>
            <w:r>
              <w:t xml:space="preserve">min. </w:t>
            </w:r>
            <w:r>
              <w:rPr>
                <w:color w:val="000000"/>
              </w:rPr>
              <w:t xml:space="preserve">1200VA / </w:t>
            </w:r>
            <w:proofErr w:type="gramStart"/>
            <w:r>
              <w:rPr>
                <w:color w:val="000000"/>
              </w:rPr>
              <w:t>720W</w:t>
            </w:r>
            <w:proofErr w:type="gramEnd"/>
            <w:r>
              <w:rPr>
                <w:color w:val="000000"/>
              </w:rPr>
              <w:t>, české zásuvky 4x zálohované, včetně baterií.</w:t>
            </w:r>
          </w:p>
          <w:p w14:paraId="2F536F32" w14:textId="77777777" w:rsidR="00394A30" w:rsidRDefault="00000000">
            <w:pPr>
              <w:numPr>
                <w:ilvl w:val="0"/>
                <w:numId w:val="2"/>
              </w:numPr>
              <w:pBdr>
                <w:top w:val="nil"/>
                <w:left w:val="nil"/>
                <w:bottom w:val="nil"/>
                <w:right w:val="nil"/>
                <w:between w:val="nil"/>
              </w:pBdr>
              <w:spacing w:after="160" w:line="259" w:lineRule="auto"/>
            </w:pPr>
            <w:r>
              <w:t>doba zálohování při plném vytížení min. 3 minuty</w:t>
            </w:r>
          </w:p>
          <w:p w14:paraId="2EDDAD54" w14:textId="77777777" w:rsidR="00394A30" w:rsidRDefault="00000000">
            <w:pPr>
              <w:numPr>
                <w:ilvl w:val="0"/>
                <w:numId w:val="2"/>
              </w:numPr>
              <w:pBdr>
                <w:top w:val="nil"/>
                <w:left w:val="nil"/>
                <w:bottom w:val="nil"/>
                <w:right w:val="nil"/>
                <w:between w:val="nil"/>
              </w:pBdr>
              <w:spacing w:after="160" w:line="259" w:lineRule="auto"/>
            </w:pPr>
            <w:r>
              <w:t>možnost komunikace s PC pro bezpečné ukončení práce a vypnutí</w:t>
            </w:r>
          </w:p>
        </w:tc>
        <w:tc>
          <w:tcPr>
            <w:tcW w:w="1701" w:type="dxa"/>
            <w:vAlign w:val="center"/>
          </w:tcPr>
          <w:p w14:paraId="094F3308" w14:textId="77777777" w:rsidR="00394A30" w:rsidRDefault="00394A30">
            <w:pPr>
              <w:jc w:val="center"/>
            </w:pPr>
          </w:p>
        </w:tc>
      </w:tr>
      <w:tr w:rsidR="00394A30" w14:paraId="6571D021" w14:textId="77777777">
        <w:tc>
          <w:tcPr>
            <w:tcW w:w="7366" w:type="dxa"/>
          </w:tcPr>
          <w:p w14:paraId="522B10E8" w14:textId="77777777" w:rsidR="00394A30" w:rsidRDefault="00000000">
            <w:r>
              <w:rPr>
                <w:color w:val="3C4043"/>
                <w:highlight w:val="white"/>
              </w:rPr>
              <w:t>1x Kalibrovaná dvojice diagnostických barevných monitorů (resp. 1x PC = 2x identický kalibrovaný diagnostický barevný monitor)</w:t>
            </w:r>
          </w:p>
          <w:p w14:paraId="593465F4" w14:textId="77777777" w:rsidR="00394A30" w:rsidRDefault="00000000">
            <w:pPr>
              <w:numPr>
                <w:ilvl w:val="0"/>
                <w:numId w:val="2"/>
              </w:numPr>
              <w:pBdr>
                <w:top w:val="nil"/>
                <w:left w:val="nil"/>
                <w:bottom w:val="nil"/>
                <w:right w:val="nil"/>
                <w:between w:val="nil"/>
              </w:pBdr>
              <w:spacing w:after="160" w:line="259" w:lineRule="auto"/>
            </w:pPr>
            <w:r>
              <w:rPr>
                <w:color w:val="000000"/>
              </w:rPr>
              <w:t xml:space="preserve">rozlišení 3MPix 2048x1536 (1536x2048), technologie panelu IPS TFT, LED </w:t>
            </w:r>
            <w:proofErr w:type="spellStart"/>
            <w:r>
              <w:rPr>
                <w:color w:val="000000"/>
              </w:rPr>
              <w:t>podsvit</w:t>
            </w:r>
            <w:proofErr w:type="spellEnd"/>
            <w:r>
              <w:rPr>
                <w:color w:val="000000"/>
              </w:rPr>
              <w:t xml:space="preserve">, úhlopříčka 21,3" (54 cm), kalibrovaná svítivost 410-500 cd/m2 (1000 max.), kontrast 1500:1, pozor. úhel 178°, 1x DVI-D, 1x Display Port, integrovaný USB HUB, </w:t>
            </w:r>
            <w:proofErr w:type="spellStart"/>
            <w:r>
              <w:rPr>
                <w:color w:val="000000"/>
              </w:rPr>
              <w:t>portrait</w:t>
            </w:r>
            <w:proofErr w:type="spellEnd"/>
            <w:r>
              <w:rPr>
                <w:color w:val="000000"/>
              </w:rPr>
              <w:t>/</w:t>
            </w:r>
            <w:proofErr w:type="spellStart"/>
            <w:r>
              <w:rPr>
                <w:color w:val="000000"/>
              </w:rPr>
              <w:t>landscape</w:t>
            </w:r>
            <w:proofErr w:type="spellEnd"/>
            <w:r>
              <w:rPr>
                <w:color w:val="000000"/>
              </w:rPr>
              <w:t xml:space="preserve"> mode, EN 60601-1, stabilizovaný </w:t>
            </w:r>
            <w:proofErr w:type="spellStart"/>
            <w:r>
              <w:rPr>
                <w:color w:val="000000"/>
              </w:rPr>
              <w:t>podsvit</w:t>
            </w:r>
            <w:proofErr w:type="spellEnd"/>
            <w:r>
              <w:rPr>
                <w:color w:val="000000"/>
              </w:rPr>
              <w:t xml:space="preserve">, přední senzor pro průběžnou kontrolu kvality zobrazení, senzor okolního osvětlení, senzor přítomnosti osoby před monitorem, interní </w:t>
            </w:r>
            <w:proofErr w:type="spellStart"/>
            <w:r>
              <w:rPr>
                <w:color w:val="000000"/>
              </w:rPr>
              <w:t>rekalibrace</w:t>
            </w:r>
            <w:proofErr w:type="spellEnd"/>
            <w:r>
              <w:rPr>
                <w:color w:val="000000"/>
              </w:rPr>
              <w:t xml:space="preserve"> senzoru.</w:t>
            </w:r>
          </w:p>
        </w:tc>
        <w:tc>
          <w:tcPr>
            <w:tcW w:w="1701" w:type="dxa"/>
            <w:vAlign w:val="center"/>
          </w:tcPr>
          <w:p w14:paraId="4A381B08" w14:textId="77777777" w:rsidR="00394A30" w:rsidRDefault="00394A30">
            <w:pPr>
              <w:jc w:val="center"/>
            </w:pPr>
          </w:p>
        </w:tc>
      </w:tr>
      <w:tr w:rsidR="00394A30" w14:paraId="7DB02882" w14:textId="77777777">
        <w:tc>
          <w:tcPr>
            <w:tcW w:w="7366" w:type="dxa"/>
          </w:tcPr>
          <w:p w14:paraId="5A4A741A" w14:textId="77777777" w:rsidR="00394A30" w:rsidRDefault="00000000">
            <w:r>
              <w:lastRenderedPageBreak/>
              <w:t>1x Náhledový monitor</w:t>
            </w:r>
          </w:p>
          <w:p w14:paraId="7554FBC8" w14:textId="77777777" w:rsidR="00394A30" w:rsidRDefault="00000000">
            <w:pPr>
              <w:numPr>
                <w:ilvl w:val="0"/>
                <w:numId w:val="2"/>
              </w:numPr>
              <w:pBdr>
                <w:top w:val="nil"/>
                <w:left w:val="nil"/>
                <w:bottom w:val="nil"/>
                <w:right w:val="nil"/>
                <w:between w:val="nil"/>
              </w:pBdr>
              <w:spacing w:after="160" w:line="259" w:lineRule="auto"/>
            </w:pPr>
            <w:r>
              <w:rPr>
                <w:color w:val="000000"/>
              </w:rPr>
              <w:t>úhlopříčka 24", IPS LED, rozlišení 1920x1080, kontrast 1000:1, 1x HDMI, 1x Display Port, VESA, Pivot, pro NIS/RIS a kancelářské aplikace.</w:t>
            </w:r>
          </w:p>
        </w:tc>
        <w:tc>
          <w:tcPr>
            <w:tcW w:w="1701" w:type="dxa"/>
            <w:vAlign w:val="center"/>
          </w:tcPr>
          <w:p w14:paraId="584C2EE7" w14:textId="77777777" w:rsidR="00394A30" w:rsidRDefault="00394A30">
            <w:pPr>
              <w:jc w:val="center"/>
            </w:pPr>
          </w:p>
        </w:tc>
      </w:tr>
      <w:tr w:rsidR="00394A30" w14:paraId="5665C232" w14:textId="77777777">
        <w:tc>
          <w:tcPr>
            <w:tcW w:w="7366" w:type="dxa"/>
          </w:tcPr>
          <w:p w14:paraId="6A0F0633" w14:textId="77777777" w:rsidR="00394A30" w:rsidRDefault="00000000">
            <w:r>
              <w:t>Veškeré kabely pro zapojení stanice jsou součástí dodávky.</w:t>
            </w:r>
          </w:p>
        </w:tc>
        <w:tc>
          <w:tcPr>
            <w:tcW w:w="1701" w:type="dxa"/>
            <w:vAlign w:val="center"/>
          </w:tcPr>
          <w:p w14:paraId="5D6DBFD9" w14:textId="77777777" w:rsidR="00394A30" w:rsidRDefault="00394A30">
            <w:pPr>
              <w:jc w:val="center"/>
            </w:pPr>
          </w:p>
        </w:tc>
      </w:tr>
    </w:tbl>
    <w:p w14:paraId="18D7D441" w14:textId="77777777" w:rsidR="00394A30" w:rsidRDefault="00394A30"/>
    <w:p w14:paraId="2AF67E28" w14:textId="77777777" w:rsidR="00394A30" w:rsidRDefault="00000000">
      <w:pPr>
        <w:pStyle w:val="Nadpis1"/>
        <w:numPr>
          <w:ilvl w:val="0"/>
          <w:numId w:val="1"/>
        </w:numPr>
      </w:pPr>
      <w:r>
        <w:t>Služby související s dodávkou</w:t>
      </w:r>
    </w:p>
    <w:p w14:paraId="4D529561" w14:textId="77777777" w:rsidR="00394A30" w:rsidRDefault="00000000">
      <w:r>
        <w:t xml:space="preserve">Předmětem zakázky jsou i veškeré služby související s dodávkou – doprava, instalace, implementace do stávající infrastruktury, konfigurace a zprovoznění komunikace, nastavení datových toků vč. konfigurace funkcí </w:t>
      </w:r>
      <w:proofErr w:type="spellStart"/>
      <w:r>
        <w:t>pre-fetch</w:t>
      </w:r>
      <w:proofErr w:type="spellEnd"/>
      <w:r>
        <w:t>, zaškolení obsluhy a správy systému, testování, migrace dat (resp. přesun dat) ze stávajících úložišť na nová. Veškeré školení bude probíhat v prostorách zadavatele a v českém jazyce. Pro obsluhu bude zaškoleno 10 pracovníků a 3 pracovníci budou zaškoleni pro správu systému.</w:t>
      </w:r>
    </w:p>
    <w:p w14:paraId="743983B3" w14:textId="77777777" w:rsidR="00394A30" w:rsidRDefault="00000000">
      <w:r>
        <w:t>Součástí nabídkové ceny musí být i veškeré práce či činnosti, které v této zadávací dokumentaci nejsou explicitně uvedeny, ale které musí Uchazeč s ohledem na jím nabízený předmět plnění a jeho řádnou a úplnou realizaci provést k dosažení zadavatelem požadovaného cílového stavu.</w:t>
      </w:r>
    </w:p>
    <w:p w14:paraId="5D7E6595" w14:textId="77777777" w:rsidR="00394A30" w:rsidRDefault="00000000">
      <w:r>
        <w:t>Zadavatel nepřipouští žádné další náklady.</w:t>
      </w:r>
    </w:p>
    <w:p w14:paraId="550BF333" w14:textId="77777777" w:rsidR="00394A30" w:rsidRDefault="00000000">
      <w:r>
        <w:t>U všech dodávek bude požadováno dodání originálních a nových zařízení, licencovaných na Zadavatele a podle pravidel výrobce tak, aby bylo možné eskalovat případné závady přímo na technickou podporu výrobce.</w:t>
      </w:r>
    </w:p>
    <w:p w14:paraId="467DBED9" w14:textId="77777777" w:rsidR="00394A30" w:rsidRDefault="00000000">
      <w:pPr>
        <w:pStyle w:val="Nadpis1"/>
        <w:numPr>
          <w:ilvl w:val="0"/>
          <w:numId w:val="1"/>
        </w:numPr>
      </w:pPr>
      <w:r>
        <w:t>Záruka</w:t>
      </w:r>
    </w:p>
    <w:p w14:paraId="610F6412" w14:textId="77777777" w:rsidR="00394A30" w:rsidRDefault="00000000">
      <w:r>
        <w:t xml:space="preserve">Na dodané řešení musí být poskytnuta záruční doba v délce 12 měsíců na SW, 60 měsíců na servery a diagnostické monitory a 24 měsíců na ostatní HW. </w:t>
      </w:r>
    </w:p>
    <w:p w14:paraId="267EED31" w14:textId="77777777" w:rsidR="00394A30" w:rsidRDefault="00000000">
      <w:pPr>
        <w:pStyle w:val="Nadpis1"/>
        <w:numPr>
          <w:ilvl w:val="0"/>
          <w:numId w:val="1"/>
        </w:numPr>
      </w:pPr>
      <w:r>
        <w:t>Servisní zajištění</w:t>
      </w:r>
    </w:p>
    <w:p w14:paraId="6E5E44CB" w14:textId="77777777" w:rsidR="00394A30" w:rsidRDefault="00000000">
      <w:r>
        <w:t xml:space="preserve">Zajištění servisní podpory po dobu 60ti </w:t>
      </w:r>
      <w:proofErr w:type="gramStart"/>
      <w:r>
        <w:t>měsíců  minimálně</w:t>
      </w:r>
      <w:proofErr w:type="gramEnd"/>
      <w:r>
        <w:t xml:space="preserve"> v následujícím rozsahu:</w:t>
      </w:r>
    </w:p>
    <w:p w14:paraId="31821157" w14:textId="77777777" w:rsidR="00394A30" w:rsidRDefault="00000000">
      <w:pPr>
        <w:numPr>
          <w:ilvl w:val="0"/>
          <w:numId w:val="3"/>
        </w:numPr>
        <w:pBdr>
          <w:top w:val="nil"/>
          <w:left w:val="nil"/>
          <w:bottom w:val="nil"/>
          <w:right w:val="nil"/>
          <w:between w:val="nil"/>
        </w:pBdr>
        <w:spacing w:after="0"/>
      </w:pPr>
      <w:r>
        <w:rPr>
          <w:color w:val="000000"/>
        </w:rPr>
        <w:t xml:space="preserve">hotline v režimu 24x7x365 v českém jazyce </w:t>
      </w:r>
      <w:r>
        <w:t>u HW je možná podpora i v anglickém jazyce</w:t>
      </w:r>
    </w:p>
    <w:p w14:paraId="65DFF82A" w14:textId="77777777" w:rsidR="00394A30" w:rsidRDefault="00000000">
      <w:pPr>
        <w:numPr>
          <w:ilvl w:val="0"/>
          <w:numId w:val="3"/>
        </w:numPr>
        <w:pBdr>
          <w:top w:val="nil"/>
          <w:left w:val="nil"/>
          <w:bottom w:val="nil"/>
          <w:right w:val="nil"/>
          <w:between w:val="nil"/>
        </w:pBdr>
        <w:spacing w:after="0"/>
      </w:pPr>
      <w:r>
        <w:rPr>
          <w:color w:val="000000"/>
        </w:rPr>
        <w:t xml:space="preserve">služba helpdesk min. v pracovních dnech od </w:t>
      </w:r>
      <w:r>
        <w:t>7</w:t>
      </w:r>
      <w:r>
        <w:rPr>
          <w:color w:val="000000"/>
        </w:rPr>
        <w:t>:00 do 16:00,</w:t>
      </w:r>
    </w:p>
    <w:p w14:paraId="5C4060FC" w14:textId="77777777" w:rsidR="00394A30" w:rsidRDefault="00000000">
      <w:pPr>
        <w:numPr>
          <w:ilvl w:val="0"/>
          <w:numId w:val="3"/>
        </w:numPr>
        <w:pBdr>
          <w:top w:val="nil"/>
          <w:left w:val="nil"/>
          <w:bottom w:val="nil"/>
          <w:right w:val="nil"/>
          <w:between w:val="nil"/>
        </w:pBdr>
        <w:spacing w:after="0"/>
      </w:pPr>
      <w:r>
        <w:rPr>
          <w:color w:val="000000"/>
        </w:rPr>
        <w:t>helpdesk musí být v českém jazyce,</w:t>
      </w:r>
    </w:p>
    <w:p w14:paraId="2CD59BCF" w14:textId="77777777" w:rsidR="00394A30" w:rsidRDefault="00000000">
      <w:pPr>
        <w:numPr>
          <w:ilvl w:val="0"/>
          <w:numId w:val="3"/>
        </w:numPr>
        <w:pBdr>
          <w:top w:val="nil"/>
          <w:left w:val="nil"/>
          <w:bottom w:val="nil"/>
          <w:right w:val="nil"/>
          <w:between w:val="nil"/>
        </w:pBdr>
        <w:spacing w:after="0"/>
      </w:pPr>
      <w:r>
        <w:rPr>
          <w:color w:val="000000"/>
        </w:rPr>
        <w:t>doba odezvy max. 2 hod. od diagnostiky či od nahlášení na HelpDesk (SW),</w:t>
      </w:r>
    </w:p>
    <w:p w14:paraId="19C71C22" w14:textId="77777777" w:rsidR="00394A30" w:rsidRDefault="00000000">
      <w:pPr>
        <w:numPr>
          <w:ilvl w:val="0"/>
          <w:numId w:val="3"/>
        </w:numPr>
        <w:pBdr>
          <w:top w:val="nil"/>
          <w:left w:val="nil"/>
          <w:bottom w:val="nil"/>
          <w:right w:val="nil"/>
          <w:between w:val="nil"/>
        </w:pBdr>
      </w:pPr>
      <w:r>
        <w:rPr>
          <w:color w:val="000000"/>
        </w:rPr>
        <w:t xml:space="preserve">upgrade veškerého </w:t>
      </w:r>
      <w:proofErr w:type="gramStart"/>
      <w:r>
        <w:rPr>
          <w:color w:val="000000"/>
        </w:rPr>
        <w:t>SW - nárok</w:t>
      </w:r>
      <w:proofErr w:type="gramEnd"/>
      <w:r>
        <w:rPr>
          <w:color w:val="000000"/>
        </w:rPr>
        <w:t xml:space="preserve"> na nové verze SW včetně nových funkcí, novou verzí se rozumí nejnovější verze vydaná výrobcem. Uchazeč musí garantovat v rámci servisní podpory nasazení nové verze SW řešení a jeho instalaci v rámci paušální podpory.</w:t>
      </w:r>
    </w:p>
    <w:p w14:paraId="068F0638" w14:textId="77777777" w:rsidR="00394A30" w:rsidRDefault="00394A30"/>
    <w:sectPr w:rsidR="00394A30">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FF1F6" w14:textId="77777777" w:rsidR="00DB0895" w:rsidRDefault="00DB0895">
      <w:pPr>
        <w:spacing w:after="0" w:line="240" w:lineRule="auto"/>
      </w:pPr>
      <w:r>
        <w:separator/>
      </w:r>
    </w:p>
  </w:endnote>
  <w:endnote w:type="continuationSeparator" w:id="0">
    <w:p w14:paraId="023B78F1" w14:textId="77777777" w:rsidR="00DB0895" w:rsidRDefault="00DB0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00F96" w14:textId="77777777" w:rsidR="00DB0895" w:rsidRDefault="00DB0895">
      <w:pPr>
        <w:spacing w:after="0" w:line="240" w:lineRule="auto"/>
      </w:pPr>
      <w:r>
        <w:separator/>
      </w:r>
    </w:p>
  </w:footnote>
  <w:footnote w:type="continuationSeparator" w:id="0">
    <w:p w14:paraId="27EF6185" w14:textId="77777777" w:rsidR="00DB0895" w:rsidRDefault="00DB0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33E8D" w14:textId="5D695B71" w:rsidR="00394A30" w:rsidRDefault="00000000">
    <w:pPr>
      <w:spacing w:before="240" w:after="240"/>
      <w:rPr>
        <w:rFonts w:ascii="Verdana" w:eastAsia="Verdana" w:hAnsi="Verdana" w:cs="Verdana"/>
        <w:i/>
        <w:sz w:val="18"/>
        <w:szCs w:val="18"/>
      </w:rPr>
    </w:pPr>
    <w:r>
      <w:rPr>
        <w:rFonts w:ascii="Verdana" w:eastAsia="Verdana" w:hAnsi="Verdana" w:cs="Verdana"/>
        <w:i/>
        <w:sz w:val="18"/>
        <w:szCs w:val="18"/>
      </w:rPr>
      <w:t>Příloha č.</w:t>
    </w:r>
    <w:r w:rsidR="00E560EE">
      <w:rPr>
        <w:rFonts w:ascii="Verdana" w:eastAsia="Verdana" w:hAnsi="Verdana" w:cs="Verdana"/>
        <w:i/>
        <w:sz w:val="18"/>
        <w:szCs w:val="18"/>
      </w:rPr>
      <w:t>2_22</w:t>
    </w:r>
    <w:r>
      <w:rPr>
        <w:rFonts w:ascii="Verdana" w:eastAsia="Verdana" w:hAnsi="Verdana" w:cs="Verdana"/>
        <w:i/>
        <w:sz w:val="18"/>
        <w:szCs w:val="18"/>
      </w:rPr>
      <w:t xml:space="preserve"> ZD – </w:t>
    </w:r>
    <w:r w:rsidR="00CC67D0" w:rsidRPr="00CC67D0">
      <w:rPr>
        <w:rFonts w:ascii="Verdana" w:eastAsia="Verdana" w:hAnsi="Verdana" w:cs="Verdana"/>
        <w:i/>
        <w:sz w:val="18"/>
        <w:szCs w:val="18"/>
      </w:rPr>
      <w:t>Oblastní nemocnice Trutnov a.s. – pořízení majetku III</w:t>
    </w:r>
    <w:r>
      <w:rPr>
        <w:rFonts w:ascii="Verdana" w:eastAsia="Verdana" w:hAnsi="Verdana" w:cs="Verdana"/>
        <w:i/>
        <w:sz w:val="18"/>
        <w:szCs w:val="18"/>
      </w:rPr>
      <w:t xml:space="preserve"> – </w:t>
    </w:r>
    <w:r w:rsidR="00E560EE">
      <w:rPr>
        <w:rFonts w:ascii="Verdana" w:eastAsia="Verdana" w:hAnsi="Verdana" w:cs="Verdana"/>
        <w:i/>
        <w:sz w:val="18"/>
        <w:szCs w:val="18"/>
      </w:rPr>
      <w:t>PACS</w:t>
    </w:r>
  </w:p>
  <w:p w14:paraId="3143A122" w14:textId="77777777" w:rsidR="00394A30" w:rsidRDefault="00394A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C157F"/>
    <w:multiLevelType w:val="multilevel"/>
    <w:tmpl w:val="CFB4C39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FA45E10"/>
    <w:multiLevelType w:val="multilevel"/>
    <w:tmpl w:val="C1BE511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8851255"/>
    <w:multiLevelType w:val="multilevel"/>
    <w:tmpl w:val="F2F2E69A"/>
    <w:lvl w:ilvl="0">
      <w:start w:val="1"/>
      <w:numFmt w:val="decimal"/>
      <w:lvlText w:val="%1."/>
      <w:lvlJc w:val="left"/>
      <w:pPr>
        <w:ind w:left="360" w:hanging="360"/>
      </w:pPr>
    </w:lvl>
    <w:lvl w:ilvl="1">
      <w:start w:val="1"/>
      <w:numFmt w:val="decimal"/>
      <w:lvlText w:val="%1.%2."/>
      <w:lvlJc w:val="left"/>
      <w:pPr>
        <w:ind w:left="792" w:hanging="79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4C771D"/>
    <w:multiLevelType w:val="multilevel"/>
    <w:tmpl w:val="EA72B8C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B604365"/>
    <w:multiLevelType w:val="multilevel"/>
    <w:tmpl w:val="7CC294B2"/>
    <w:lvl w:ilvl="0">
      <w:start w:val="1"/>
      <w:numFmt w:val="decimal"/>
      <w:pStyle w:val="Nadpis1"/>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pStyle w:val="Nadpis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71521706">
    <w:abstractNumId w:val="2"/>
  </w:num>
  <w:num w:numId="2" w16cid:durableId="337317587">
    <w:abstractNumId w:val="0"/>
  </w:num>
  <w:num w:numId="3" w16cid:durableId="1377504586">
    <w:abstractNumId w:val="1"/>
  </w:num>
  <w:num w:numId="4" w16cid:durableId="1580482535">
    <w:abstractNumId w:val="3"/>
  </w:num>
  <w:num w:numId="5" w16cid:durableId="79329571">
    <w:abstractNumId w:val="4"/>
  </w:num>
  <w:num w:numId="6" w16cid:durableId="2145081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A30"/>
    <w:rsid w:val="001D7CF5"/>
    <w:rsid w:val="00394A30"/>
    <w:rsid w:val="007E64C8"/>
    <w:rsid w:val="00CC67D0"/>
    <w:rsid w:val="00DB0895"/>
    <w:rsid w:val="00E560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2EB1"/>
  <w15:docId w15:val="{6DBABB67-71A9-43F8-BC26-08C7C9381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02F3"/>
  </w:style>
  <w:style w:type="paragraph" w:styleId="Nadpis1">
    <w:name w:val="heading 1"/>
    <w:basedOn w:val="Normln"/>
    <w:next w:val="Normln"/>
    <w:link w:val="Nadpis1Char"/>
    <w:uiPriority w:val="9"/>
    <w:qFormat/>
    <w:rsid w:val="007C4DA9"/>
    <w:pPr>
      <w:keepNext/>
      <w:keepLines/>
      <w:numPr>
        <w:numId w:val="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iPriority w:val="9"/>
    <w:unhideWhenUsed/>
    <w:qFormat/>
    <w:rsid w:val="004760EB"/>
    <w:pPr>
      <w:numPr>
        <w:ilvl w:val="1"/>
      </w:numPr>
      <w:ind w:left="567" w:hanging="567"/>
      <w:outlineLvl w:val="1"/>
    </w:pPr>
    <w:rPr>
      <w:sz w:val="28"/>
      <w:szCs w:val="28"/>
    </w:rPr>
  </w:style>
  <w:style w:type="paragraph" w:styleId="Nadpis3">
    <w:name w:val="heading 3"/>
    <w:basedOn w:val="Nadpis2"/>
    <w:next w:val="Normln"/>
    <w:link w:val="Nadpis3Char"/>
    <w:uiPriority w:val="9"/>
    <w:unhideWhenUsed/>
    <w:qFormat/>
    <w:rsid w:val="00E659A3"/>
    <w:pPr>
      <w:numPr>
        <w:ilvl w:val="2"/>
      </w:numPr>
      <w:ind w:left="567" w:hanging="567"/>
      <w:outlineLvl w:val="2"/>
    </w:pPr>
    <w:rPr>
      <w:sz w:val="24"/>
      <w:szCs w:val="24"/>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rsid w:val="00D560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5607B"/>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7C4DA9"/>
    <w:rPr>
      <w:rFonts w:asciiTheme="majorHAnsi" w:eastAsiaTheme="majorEastAsia" w:hAnsiTheme="majorHAnsi" w:cstheme="majorBidi"/>
      <w:color w:val="2F5496" w:themeColor="accent1" w:themeShade="BF"/>
      <w:sz w:val="32"/>
      <w:szCs w:val="32"/>
    </w:rPr>
  </w:style>
  <w:style w:type="table" w:styleId="Mkatabulky">
    <w:name w:val="Table Grid"/>
    <w:basedOn w:val="Normlntabulka"/>
    <w:uiPriority w:val="39"/>
    <w:rsid w:val="00D96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4760EB"/>
    <w:rPr>
      <w:rFonts w:asciiTheme="majorHAnsi" w:eastAsiaTheme="majorEastAsia" w:hAnsiTheme="majorHAnsi" w:cstheme="majorBidi"/>
      <w:color w:val="2F5496" w:themeColor="accent1" w:themeShade="BF"/>
      <w:sz w:val="28"/>
      <w:szCs w:val="28"/>
    </w:rPr>
  </w:style>
  <w:style w:type="character" w:customStyle="1" w:styleId="Nadpis3Char">
    <w:name w:val="Nadpis 3 Char"/>
    <w:basedOn w:val="Standardnpsmoodstavce"/>
    <w:link w:val="Nadpis3"/>
    <w:uiPriority w:val="9"/>
    <w:rsid w:val="00E659A3"/>
    <w:rPr>
      <w:rFonts w:asciiTheme="majorHAnsi" w:eastAsiaTheme="majorEastAsia" w:hAnsiTheme="majorHAnsi" w:cstheme="majorBidi"/>
      <w:color w:val="2F5496" w:themeColor="accent1" w:themeShade="BF"/>
      <w:sz w:val="24"/>
      <w:szCs w:val="24"/>
    </w:rPr>
  </w:style>
  <w:style w:type="paragraph" w:styleId="Odstavecseseznamem">
    <w:name w:val="List Paragraph"/>
    <w:basedOn w:val="Normln"/>
    <w:uiPriority w:val="34"/>
    <w:qFormat/>
    <w:rsid w:val="004F048F"/>
    <w:pPr>
      <w:ind w:left="720"/>
      <w:contextualSpacing/>
    </w:pPr>
  </w:style>
  <w:style w:type="paragraph" w:customStyle="1" w:styleId="OdrkaII">
    <w:name w:val="Odrážka II"/>
    <w:basedOn w:val="Normln"/>
    <w:qFormat/>
    <w:rsid w:val="00E7245C"/>
    <w:pPr>
      <w:tabs>
        <w:tab w:val="num" w:pos="1440"/>
      </w:tabs>
      <w:ind w:left="1440" w:hanging="720"/>
      <w:contextualSpacing/>
    </w:pPr>
    <w:rPr>
      <w:rFonts w:cstheme="minorHAnsi"/>
      <w:lang w:eastAsia="en-US"/>
    </w:rPr>
  </w:style>
  <w:style w:type="table" w:customStyle="1" w:styleId="Mkatabulky1">
    <w:name w:val="Mřížka tabulky1"/>
    <w:basedOn w:val="Normlntabulka"/>
    <w:next w:val="Mkatabulky"/>
    <w:uiPriority w:val="39"/>
    <w:rsid w:val="00E72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D7252"/>
    <w:rPr>
      <w:sz w:val="16"/>
      <w:szCs w:val="16"/>
    </w:rPr>
  </w:style>
  <w:style w:type="paragraph" w:styleId="Textkomente">
    <w:name w:val="annotation text"/>
    <w:basedOn w:val="Normln"/>
    <w:link w:val="TextkomenteChar"/>
    <w:uiPriority w:val="99"/>
    <w:semiHidden/>
    <w:unhideWhenUsed/>
    <w:rsid w:val="003D7252"/>
    <w:pPr>
      <w:spacing w:line="240" w:lineRule="auto"/>
    </w:pPr>
    <w:rPr>
      <w:sz w:val="20"/>
      <w:szCs w:val="20"/>
    </w:rPr>
  </w:style>
  <w:style w:type="character" w:customStyle="1" w:styleId="TextkomenteChar">
    <w:name w:val="Text komentáře Char"/>
    <w:basedOn w:val="Standardnpsmoodstavce"/>
    <w:link w:val="Textkomente"/>
    <w:uiPriority w:val="99"/>
    <w:semiHidden/>
    <w:rsid w:val="003D7252"/>
    <w:rPr>
      <w:sz w:val="20"/>
      <w:szCs w:val="20"/>
    </w:rPr>
  </w:style>
  <w:style w:type="paragraph" w:styleId="Pedmtkomente">
    <w:name w:val="annotation subject"/>
    <w:basedOn w:val="Textkomente"/>
    <w:next w:val="Textkomente"/>
    <w:link w:val="PedmtkomenteChar"/>
    <w:uiPriority w:val="99"/>
    <w:semiHidden/>
    <w:unhideWhenUsed/>
    <w:rsid w:val="003D7252"/>
    <w:rPr>
      <w:b/>
      <w:bCs/>
    </w:rPr>
  </w:style>
  <w:style w:type="character" w:customStyle="1" w:styleId="PedmtkomenteChar">
    <w:name w:val="Předmět komentáře Char"/>
    <w:basedOn w:val="TextkomenteChar"/>
    <w:link w:val="Pedmtkomente"/>
    <w:uiPriority w:val="99"/>
    <w:semiHidden/>
    <w:rsid w:val="003D7252"/>
    <w:rPr>
      <w:b/>
      <w:bCs/>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paragraph" w:styleId="Zhlav">
    <w:name w:val="header"/>
    <w:basedOn w:val="Normln"/>
    <w:link w:val="ZhlavChar"/>
    <w:uiPriority w:val="99"/>
    <w:unhideWhenUsed/>
    <w:rsid w:val="00E560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560EE"/>
  </w:style>
  <w:style w:type="paragraph" w:styleId="Zpat">
    <w:name w:val="footer"/>
    <w:basedOn w:val="Normln"/>
    <w:link w:val="ZpatChar"/>
    <w:uiPriority w:val="99"/>
    <w:unhideWhenUsed/>
    <w:rsid w:val="00E560EE"/>
    <w:pPr>
      <w:tabs>
        <w:tab w:val="center" w:pos="4536"/>
        <w:tab w:val="right" w:pos="9072"/>
      </w:tabs>
      <w:spacing w:after="0" w:line="240" w:lineRule="auto"/>
    </w:pPr>
  </w:style>
  <w:style w:type="character" w:customStyle="1" w:styleId="ZpatChar">
    <w:name w:val="Zápatí Char"/>
    <w:basedOn w:val="Standardnpsmoodstavce"/>
    <w:link w:val="Zpat"/>
    <w:uiPriority w:val="99"/>
    <w:rsid w:val="00E560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GS8C3envJILlse5JG3Aw8F/b6A==">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4420</Words>
  <Characters>26079</Characters>
  <Application>Microsoft Office Word</Application>
  <DocSecurity>0</DocSecurity>
  <Lines>217</Lines>
  <Paragraphs>60</Paragraphs>
  <ScaleCrop>false</ScaleCrop>
  <Company/>
  <LinksUpToDate>false</LinksUpToDate>
  <CharactersWithSpaces>30439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Alena Zimmerová JTAK</cp:lastModifiedBy>
  <cp:revision>5</cp:revision>
  <dcterms:created xsi:type="dcterms:W3CDTF">2022-08-31T07:41:00Z</dcterms:created>
  <dcterms:modified xsi:type="dcterms:W3CDTF">2023-03-22T14:48:00Z</dcterms:modified>
</cp:coreProperties>
</file>